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052157">
        <w:rPr>
          <w:b w:val="0"/>
          <w:bCs w:val="0"/>
          <w:sz w:val="20"/>
          <w:szCs w:val="20"/>
        </w:rPr>
        <w:t>04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052157">
        <w:rPr>
          <w:b w:val="0"/>
          <w:bCs w:val="0"/>
          <w:sz w:val="20"/>
          <w:szCs w:val="20"/>
        </w:rPr>
        <w:t>сентябр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052157">
        <w:rPr>
          <w:sz w:val="20"/>
          <w:szCs w:val="20"/>
        </w:rPr>
        <w:t>65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052157">
        <w:rPr>
          <w:sz w:val="20"/>
          <w:szCs w:val="20"/>
        </w:rPr>
        <w:t>04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 xml:space="preserve">(3953) </w:t>
      </w:r>
      <w:r w:rsidR="00214EB4">
        <w:rPr>
          <w:sz w:val="20"/>
          <w:szCs w:val="20"/>
        </w:rPr>
        <w:t xml:space="preserve">344000 </w:t>
      </w:r>
      <w:proofErr w:type="spellStart"/>
      <w:r w:rsidR="00214EB4">
        <w:rPr>
          <w:sz w:val="20"/>
          <w:szCs w:val="20"/>
        </w:rPr>
        <w:t>доб</w:t>
      </w:r>
      <w:proofErr w:type="spellEnd"/>
      <w:r w:rsidR="00214EB4">
        <w:rPr>
          <w:sz w:val="20"/>
          <w:szCs w:val="20"/>
        </w:rPr>
        <w:t>. 741, 344-011</w:t>
      </w:r>
      <w:r w:rsidRPr="006A14D6">
        <w:rPr>
          <w:sz w:val="20"/>
          <w:szCs w:val="20"/>
        </w:rPr>
        <w:t xml:space="preserve">, адрес электронной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052157">
        <w:rPr>
          <w:sz w:val="20"/>
          <w:szCs w:val="20"/>
          <w:u w:val="single"/>
        </w:rPr>
        <w:t>поставки</w:t>
      </w:r>
      <w:r w:rsidR="00214EB4">
        <w:rPr>
          <w:sz w:val="20"/>
          <w:szCs w:val="20"/>
          <w:u w:val="single"/>
        </w:rPr>
        <w:t xml:space="preserve">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214EB4">
        <w:rPr>
          <w:sz w:val="20"/>
          <w:szCs w:val="20"/>
        </w:rPr>
        <w:t>Дрожжина Анна Владимировна</w:t>
      </w:r>
      <w:r w:rsidRPr="006A14D6">
        <w:rPr>
          <w:sz w:val="20"/>
          <w:szCs w:val="20"/>
        </w:rPr>
        <w:t xml:space="preserve">, тел.: +7 (3953) </w:t>
      </w:r>
      <w:r w:rsidR="00214EB4">
        <w:rPr>
          <w:sz w:val="20"/>
          <w:szCs w:val="20"/>
        </w:rPr>
        <w:t xml:space="preserve">400-010 </w:t>
      </w:r>
      <w:proofErr w:type="spellStart"/>
      <w:r w:rsidR="00214EB4">
        <w:rPr>
          <w:sz w:val="20"/>
          <w:szCs w:val="20"/>
        </w:rPr>
        <w:t>доб</w:t>
      </w:r>
      <w:proofErr w:type="spellEnd"/>
      <w:r w:rsidR="00214EB4">
        <w:rPr>
          <w:sz w:val="20"/>
          <w:szCs w:val="20"/>
        </w:rPr>
        <w:t>. 111</w:t>
      </w:r>
      <w:r w:rsidRPr="006A14D6">
        <w:rPr>
          <w:sz w:val="20"/>
          <w:szCs w:val="20"/>
        </w:rPr>
        <w:t>.</w:t>
      </w:r>
    </w:p>
    <w:p w:rsidR="00256957" w:rsidRPr="000F1C95" w:rsidRDefault="00052157" w:rsidP="00052157">
      <w:pPr>
        <w:tabs>
          <w:tab w:val="left" w:pos="5645"/>
          <w:tab w:val="left" w:pos="5760"/>
        </w:tabs>
        <w:rPr>
          <w:sz w:val="14"/>
          <w:szCs w:val="20"/>
        </w:rPr>
      </w:pPr>
      <w:r>
        <w:rPr>
          <w:sz w:val="14"/>
          <w:szCs w:val="20"/>
        </w:rPr>
        <w:tab/>
      </w: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C84BBE">
        <w:rPr>
          <w:bCs/>
          <w:sz w:val="20"/>
          <w:szCs w:val="20"/>
        </w:rPr>
        <w:t xml:space="preserve"> – мясо, су</w:t>
      </w:r>
      <w:r w:rsidR="00C84BBE">
        <w:rPr>
          <w:bCs/>
          <w:sz w:val="20"/>
          <w:szCs w:val="20"/>
        </w:rPr>
        <w:t>б</w:t>
      </w:r>
      <w:r w:rsidR="00C84BBE">
        <w:rPr>
          <w:bCs/>
          <w:sz w:val="20"/>
          <w:szCs w:val="20"/>
        </w:rPr>
        <w:t xml:space="preserve">продукты, рыба </w:t>
      </w:r>
      <w:r w:rsidR="001D1414">
        <w:rPr>
          <w:bCs/>
          <w:sz w:val="20"/>
          <w:szCs w:val="20"/>
        </w:rPr>
        <w:t>для нужд столовой</w:t>
      </w:r>
      <w:r w:rsidR="00EA7B54">
        <w:rPr>
          <w:bCs/>
          <w:sz w:val="20"/>
          <w:szCs w:val="20"/>
        </w:rPr>
        <w:t xml:space="preserve"> </w:t>
      </w:r>
      <w:r w:rsidR="00052157">
        <w:rPr>
          <w:bCs/>
          <w:sz w:val="20"/>
          <w:szCs w:val="20"/>
        </w:rPr>
        <w:t>БЦБК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настоящего Извещ</w:t>
      </w:r>
      <w:r w:rsidR="00130A6B">
        <w:rPr>
          <w:color w:val="0D0D0D"/>
          <w:sz w:val="20"/>
          <w:szCs w:val="20"/>
        </w:rPr>
        <w:t>е</w:t>
      </w:r>
      <w:r w:rsidR="00130A6B">
        <w:rPr>
          <w:color w:val="0D0D0D"/>
          <w:sz w:val="20"/>
          <w:szCs w:val="20"/>
        </w:rPr>
        <w:t>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214EB4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214EB4">
        <w:rPr>
          <w:b/>
          <w:bCs/>
          <w:sz w:val="20"/>
          <w:szCs w:val="20"/>
        </w:rPr>
        <w:t>ноября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214EB4" w:rsidRPr="00B04CC1" w:rsidRDefault="008F5B37" w:rsidP="00214EB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proofErr w:type="gramStart"/>
      <w:r w:rsidR="00214EB4" w:rsidRPr="001D1414">
        <w:rPr>
          <w:sz w:val="20"/>
          <w:szCs w:val="20"/>
        </w:rPr>
        <w:t xml:space="preserve">Иркутская область, г. Братск, ж.р. </w:t>
      </w:r>
      <w:r w:rsidR="00214EB4">
        <w:rPr>
          <w:sz w:val="20"/>
          <w:szCs w:val="20"/>
        </w:rPr>
        <w:t>Центральный</w:t>
      </w:r>
      <w:r w:rsidR="00214EB4" w:rsidRPr="001D1414">
        <w:rPr>
          <w:sz w:val="20"/>
          <w:szCs w:val="20"/>
        </w:rPr>
        <w:t xml:space="preserve">, ул. </w:t>
      </w:r>
      <w:r w:rsidR="00214EB4">
        <w:rPr>
          <w:sz w:val="20"/>
          <w:szCs w:val="20"/>
        </w:rPr>
        <w:t>Обручева</w:t>
      </w:r>
      <w:r w:rsidR="00214EB4" w:rsidRPr="001D1414">
        <w:rPr>
          <w:sz w:val="20"/>
          <w:szCs w:val="20"/>
        </w:rPr>
        <w:t xml:space="preserve">, д. </w:t>
      </w:r>
      <w:r w:rsidR="00214EB4">
        <w:rPr>
          <w:sz w:val="20"/>
          <w:szCs w:val="20"/>
        </w:rPr>
        <w:t xml:space="preserve">41, помещение склада столовой БЦБК </w:t>
      </w:r>
      <w:r w:rsidR="00214EB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C84BBE" w:rsidRPr="00D3770C" w:rsidTr="00C84BBE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№</w:t>
            </w:r>
          </w:p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1561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1561C">
              <w:rPr>
                <w:sz w:val="20"/>
                <w:szCs w:val="20"/>
              </w:rPr>
              <w:t>/</w:t>
            </w:r>
            <w:proofErr w:type="spellStart"/>
            <w:r w:rsidRPr="0051561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ОКПД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ОКВЭД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 xml:space="preserve">Ед. </w:t>
            </w:r>
            <w:proofErr w:type="spellStart"/>
            <w:r w:rsidRPr="0051561C">
              <w:rPr>
                <w:sz w:val="20"/>
                <w:szCs w:val="20"/>
              </w:rPr>
              <w:t>изм</w:t>
            </w:r>
            <w:proofErr w:type="spellEnd"/>
            <w:r w:rsidRPr="0051561C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Кол-во</w:t>
            </w:r>
          </w:p>
        </w:tc>
      </w:tr>
      <w:tr w:rsidR="00184E05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184E05" w:rsidRPr="0051561C" w:rsidRDefault="00184E05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84E05" w:rsidRPr="004003B6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13</w:t>
            </w:r>
            <w:r w:rsidRPr="004003B6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184E05" w:rsidRPr="00713F78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184E05" w:rsidRPr="00713F78" w:rsidRDefault="00184E05" w:rsidP="00C84B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Горбуша</w:t>
            </w:r>
          </w:p>
        </w:tc>
        <w:tc>
          <w:tcPr>
            <w:tcW w:w="3615" w:type="dxa"/>
          </w:tcPr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Вид продукции – рыба из семейства </w:t>
            </w:r>
            <w:proofErr w:type="gramStart"/>
            <w:r w:rsidRPr="00335F13">
              <w:rPr>
                <w:sz w:val="16"/>
                <w:szCs w:val="16"/>
              </w:rPr>
              <w:t>лососевых</w:t>
            </w:r>
            <w:proofErr w:type="gramEnd"/>
            <w:r w:rsidRPr="00335F13">
              <w:rPr>
                <w:sz w:val="16"/>
                <w:szCs w:val="16"/>
              </w:rPr>
              <w:t xml:space="preserve">, мороженая, </w:t>
            </w:r>
            <w:r w:rsidR="00214EB4">
              <w:rPr>
                <w:sz w:val="16"/>
                <w:szCs w:val="16"/>
              </w:rPr>
              <w:t>без</w:t>
            </w:r>
            <w:r w:rsidRPr="00335F13">
              <w:rPr>
                <w:sz w:val="16"/>
                <w:szCs w:val="16"/>
              </w:rPr>
              <w:t xml:space="preserve"> голов</w:t>
            </w:r>
            <w:r w:rsidR="00214EB4">
              <w:rPr>
                <w:sz w:val="16"/>
                <w:szCs w:val="16"/>
              </w:rPr>
              <w:t>ы</w:t>
            </w:r>
            <w:r w:rsidRPr="00335F13">
              <w:rPr>
                <w:sz w:val="16"/>
                <w:szCs w:val="16"/>
              </w:rPr>
              <w:t>, потрошенная.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Внешний вид (после размораживания) – повер</w:t>
            </w:r>
            <w:r w:rsidRPr="00335F13">
              <w:rPr>
                <w:sz w:val="16"/>
                <w:szCs w:val="16"/>
              </w:rPr>
              <w:t>х</w:t>
            </w:r>
            <w:r w:rsidRPr="00335F13">
              <w:rPr>
                <w:sz w:val="16"/>
                <w:szCs w:val="16"/>
              </w:rPr>
              <w:t>ность чистая, естественной окраски, присущей рыбе данного вида.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пло</w:t>
            </w:r>
            <w:r w:rsidRPr="00335F13">
              <w:rPr>
                <w:sz w:val="16"/>
                <w:szCs w:val="16"/>
              </w:rPr>
              <w:t>т</w:t>
            </w:r>
            <w:r w:rsidRPr="00335F13">
              <w:rPr>
                <w:sz w:val="16"/>
                <w:szCs w:val="16"/>
              </w:rPr>
              <w:t>ная, присущая рыбе данного вида.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свойственный свежей рыбе.</w:t>
            </w:r>
          </w:p>
          <w:p w:rsidR="00184E05" w:rsidRPr="005D15B7" w:rsidRDefault="00184E05" w:rsidP="00C84BBE">
            <w:pPr>
              <w:jc w:val="both"/>
              <w:rPr>
                <w:sz w:val="18"/>
                <w:szCs w:val="18"/>
              </w:rPr>
            </w:pPr>
            <w:r w:rsidRPr="00335F13">
              <w:rPr>
                <w:sz w:val="16"/>
                <w:szCs w:val="16"/>
              </w:rPr>
              <w:t>Соответствие ГОСТ 32366-2013.</w:t>
            </w:r>
          </w:p>
        </w:tc>
        <w:tc>
          <w:tcPr>
            <w:tcW w:w="1134" w:type="dxa"/>
            <w:vAlign w:val="center"/>
          </w:tcPr>
          <w:p w:rsidR="00184E05" w:rsidRPr="00713F78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84E05" w:rsidRPr="00783B13" w:rsidRDefault="00214EB4" w:rsidP="0005215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14EB4" w:rsidRPr="00D3770C" w:rsidTr="00C84BBE">
        <w:trPr>
          <w:trHeight w:val="132"/>
          <w:jc w:val="center"/>
        </w:trPr>
        <w:tc>
          <w:tcPr>
            <w:tcW w:w="560" w:type="dxa"/>
            <w:vAlign w:val="center"/>
          </w:tcPr>
          <w:p w:rsidR="00214EB4" w:rsidRPr="0051561C" w:rsidRDefault="00214EB4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214EB4" w:rsidRPr="0030404F" w:rsidRDefault="00214EB4" w:rsidP="00AC018B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10.20.13.122</w:t>
            </w:r>
          </w:p>
        </w:tc>
        <w:tc>
          <w:tcPr>
            <w:tcW w:w="1134" w:type="dxa"/>
            <w:vAlign w:val="center"/>
          </w:tcPr>
          <w:p w:rsidR="00214EB4" w:rsidRPr="0030404F" w:rsidRDefault="00214EB4" w:rsidP="00AC0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214EB4" w:rsidRPr="0030404F" w:rsidRDefault="00214EB4" w:rsidP="00AC0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Минтай</w:t>
            </w:r>
          </w:p>
        </w:tc>
        <w:tc>
          <w:tcPr>
            <w:tcW w:w="3615" w:type="dxa"/>
          </w:tcPr>
          <w:p w:rsidR="00214EB4" w:rsidRDefault="00214EB4" w:rsidP="00AC018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продукции – рыба мороженая, без головы, потрошеная.</w:t>
            </w:r>
          </w:p>
          <w:p w:rsidR="00214EB4" w:rsidRDefault="00214EB4" w:rsidP="00AC018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Внешний вид (после размораживания) – повер</w:t>
            </w:r>
            <w:r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ность чистая, естественной окраски, присущей рыбе данного вида.</w:t>
            </w:r>
          </w:p>
          <w:p w:rsidR="00214EB4" w:rsidRDefault="00214EB4" w:rsidP="00AC018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Консистенция (после размораживания) – пло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ная, присущая рыбе данного вида.</w:t>
            </w:r>
          </w:p>
          <w:p w:rsidR="00214EB4" w:rsidRDefault="00214EB4" w:rsidP="00AC018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Запах (после размораживания) – свойственный свежей рыбе.</w:t>
            </w:r>
          </w:p>
          <w:p w:rsidR="00214EB4" w:rsidRPr="0030404F" w:rsidRDefault="00214EB4" w:rsidP="00AC018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Соответствие ГОСТ 32366-2013.</w:t>
            </w:r>
          </w:p>
        </w:tc>
        <w:tc>
          <w:tcPr>
            <w:tcW w:w="1134" w:type="dxa"/>
            <w:vAlign w:val="center"/>
          </w:tcPr>
          <w:p w:rsidR="00214EB4" w:rsidRPr="001D7995" w:rsidRDefault="00214EB4" w:rsidP="00AC018B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214EB4" w:rsidRPr="0051561C" w:rsidRDefault="00214EB4" w:rsidP="0005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1391" w:rsidRPr="00D3770C" w:rsidTr="00A11391">
        <w:trPr>
          <w:trHeight w:val="923"/>
          <w:jc w:val="center"/>
        </w:trPr>
        <w:tc>
          <w:tcPr>
            <w:tcW w:w="560" w:type="dxa"/>
            <w:vAlign w:val="center"/>
          </w:tcPr>
          <w:p w:rsidR="00A11391" w:rsidRPr="0051561C" w:rsidRDefault="00A11391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A11391" w:rsidRPr="00E44170" w:rsidRDefault="00A11391" w:rsidP="00A11391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10.20.34.110</w:t>
            </w:r>
          </w:p>
        </w:tc>
        <w:tc>
          <w:tcPr>
            <w:tcW w:w="1134" w:type="dxa"/>
            <w:vAlign w:val="center"/>
          </w:tcPr>
          <w:p w:rsidR="00A11391" w:rsidRPr="00E44170" w:rsidRDefault="00A11391" w:rsidP="00A11391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10.20</w:t>
            </w:r>
          </w:p>
        </w:tc>
        <w:tc>
          <w:tcPr>
            <w:tcW w:w="1772" w:type="dxa"/>
            <w:vAlign w:val="center"/>
          </w:tcPr>
          <w:p w:rsidR="00A11391" w:rsidRPr="00E44170" w:rsidRDefault="00A11391" w:rsidP="00A11391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Крабов</w:t>
            </w:r>
            <w:r>
              <w:rPr>
                <w:sz w:val="20"/>
                <w:szCs w:val="20"/>
              </w:rPr>
              <w:t>ы</w:t>
            </w:r>
            <w:r w:rsidRPr="00E4417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пало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3615" w:type="dxa"/>
          </w:tcPr>
          <w:p w:rsidR="00A11391" w:rsidRPr="00E44170" w:rsidRDefault="00A11391" w:rsidP="00AC01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Вид продукции – рыбный продукт.</w:t>
            </w:r>
          </w:p>
          <w:p w:rsidR="00A11391" w:rsidRPr="00E44170" w:rsidRDefault="00A11391" w:rsidP="00AC01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Основной ингредиент – фарш рыбный «</w:t>
            </w:r>
            <w:proofErr w:type="spellStart"/>
            <w:r w:rsidRPr="00E44170">
              <w:rPr>
                <w:sz w:val="18"/>
                <w:szCs w:val="18"/>
              </w:rPr>
              <w:t>с</w:t>
            </w:r>
            <w:r w:rsidRPr="00E44170">
              <w:rPr>
                <w:sz w:val="18"/>
                <w:szCs w:val="18"/>
              </w:rPr>
              <w:t>у</w:t>
            </w:r>
            <w:r w:rsidRPr="00E44170">
              <w:rPr>
                <w:sz w:val="18"/>
                <w:szCs w:val="18"/>
              </w:rPr>
              <w:t>рими</w:t>
            </w:r>
            <w:proofErr w:type="spellEnd"/>
            <w:r w:rsidRPr="00E44170">
              <w:rPr>
                <w:sz w:val="18"/>
                <w:szCs w:val="18"/>
              </w:rPr>
              <w:t xml:space="preserve">». </w:t>
            </w:r>
          </w:p>
          <w:p w:rsidR="00A11391" w:rsidRPr="00E44170" w:rsidRDefault="00A11391" w:rsidP="00AC01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Внешний вид – продукт напоминает краб</w:t>
            </w:r>
            <w:r w:rsidRPr="00E44170">
              <w:rPr>
                <w:sz w:val="18"/>
                <w:szCs w:val="18"/>
              </w:rPr>
              <w:t>о</w:t>
            </w:r>
            <w:r w:rsidRPr="00E44170">
              <w:rPr>
                <w:sz w:val="18"/>
                <w:szCs w:val="18"/>
              </w:rPr>
              <w:t>вое мясо, сочный, ровно окрашенный, на ощупь – чувствуется упругость.</w:t>
            </w:r>
          </w:p>
          <w:p w:rsidR="00A11391" w:rsidRPr="00E44170" w:rsidRDefault="00A11391" w:rsidP="00AC01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Не долж</w:t>
            </w:r>
            <w:r>
              <w:rPr>
                <w:sz w:val="18"/>
                <w:szCs w:val="18"/>
              </w:rPr>
              <w:t>е</w:t>
            </w:r>
            <w:r w:rsidRPr="00E44170">
              <w:rPr>
                <w:sz w:val="18"/>
                <w:szCs w:val="18"/>
              </w:rPr>
              <w:t>н содержать ГМО.</w:t>
            </w:r>
          </w:p>
          <w:p w:rsidR="00A11391" w:rsidRPr="00E44170" w:rsidRDefault="00A11391" w:rsidP="00AC01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Вакуумная упаковка (пачка), массой не менее 200 гр.</w:t>
            </w:r>
          </w:p>
          <w:p w:rsidR="00A11391" w:rsidRPr="00E44170" w:rsidRDefault="00A11391" w:rsidP="00AC018B">
            <w:pPr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Соответствие ТУ производителя.</w:t>
            </w:r>
          </w:p>
        </w:tc>
        <w:tc>
          <w:tcPr>
            <w:tcW w:w="1134" w:type="dxa"/>
            <w:vAlign w:val="center"/>
          </w:tcPr>
          <w:p w:rsidR="00A11391" w:rsidRPr="00905ECF" w:rsidRDefault="00A11391" w:rsidP="00A11391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A11391" w:rsidRPr="0051561C" w:rsidRDefault="00A11391" w:rsidP="00A1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11391" w:rsidRPr="00D3770C" w:rsidTr="00A11391">
        <w:trPr>
          <w:trHeight w:val="923"/>
          <w:jc w:val="center"/>
        </w:trPr>
        <w:tc>
          <w:tcPr>
            <w:tcW w:w="560" w:type="dxa"/>
            <w:vAlign w:val="center"/>
          </w:tcPr>
          <w:p w:rsidR="00A11391" w:rsidRPr="0051561C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A11391" w:rsidRPr="00E44170" w:rsidRDefault="00A11391" w:rsidP="00A1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10.11.31.110</w:t>
            </w:r>
          </w:p>
        </w:tc>
        <w:tc>
          <w:tcPr>
            <w:tcW w:w="1134" w:type="dxa"/>
            <w:vAlign w:val="center"/>
          </w:tcPr>
          <w:p w:rsidR="00A11391" w:rsidRPr="00E44170" w:rsidRDefault="00A11391" w:rsidP="00A1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1772" w:type="dxa"/>
            <w:vAlign w:val="center"/>
          </w:tcPr>
          <w:p w:rsidR="00A11391" w:rsidRPr="00383899" w:rsidRDefault="00A11391" w:rsidP="00A11391">
            <w:pPr>
              <w:jc w:val="center"/>
              <w:rPr>
                <w:sz w:val="20"/>
              </w:rPr>
            </w:pPr>
            <w:r w:rsidRPr="00383899">
              <w:rPr>
                <w:sz w:val="20"/>
              </w:rPr>
              <w:t xml:space="preserve">Говядина </w:t>
            </w:r>
            <w:r>
              <w:rPr>
                <w:sz w:val="20"/>
              </w:rPr>
              <w:t>плеч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вой отруб</w:t>
            </w:r>
          </w:p>
        </w:tc>
        <w:tc>
          <w:tcPr>
            <w:tcW w:w="3615" w:type="dxa"/>
          </w:tcPr>
          <w:p w:rsidR="00A11391" w:rsidRPr="00C552D8" w:rsidRDefault="00A11391" w:rsidP="00AC018B">
            <w:pPr>
              <w:rPr>
                <w:sz w:val="16"/>
                <w:szCs w:val="16"/>
              </w:rPr>
            </w:pPr>
            <w:r w:rsidRPr="00C552D8">
              <w:rPr>
                <w:sz w:val="16"/>
                <w:szCs w:val="16"/>
              </w:rPr>
              <w:t>Говядина – промышленный забой. Мясо мор</w:t>
            </w:r>
            <w:r w:rsidRPr="00C552D8">
              <w:rPr>
                <w:sz w:val="16"/>
                <w:szCs w:val="16"/>
              </w:rPr>
              <w:t>о</w:t>
            </w:r>
            <w:r w:rsidRPr="00C552D8">
              <w:rPr>
                <w:sz w:val="16"/>
                <w:szCs w:val="16"/>
              </w:rPr>
              <w:t>женное, Вид продукции – мясо говядина, пр</w:t>
            </w:r>
            <w:r w:rsidRPr="00C552D8">
              <w:rPr>
                <w:sz w:val="16"/>
                <w:szCs w:val="16"/>
              </w:rPr>
              <w:t>о</w:t>
            </w:r>
            <w:r w:rsidRPr="00C552D8">
              <w:rPr>
                <w:sz w:val="16"/>
                <w:szCs w:val="16"/>
              </w:rPr>
              <w:t>мышленный з</w:t>
            </w:r>
            <w:r w:rsidRPr="00C552D8">
              <w:rPr>
                <w:sz w:val="16"/>
                <w:szCs w:val="16"/>
              </w:rPr>
              <w:t>а</w:t>
            </w:r>
            <w:r w:rsidRPr="00C552D8">
              <w:rPr>
                <w:sz w:val="16"/>
                <w:szCs w:val="16"/>
              </w:rPr>
              <w:t xml:space="preserve">бой, </w:t>
            </w:r>
            <w:r>
              <w:rPr>
                <w:sz w:val="16"/>
                <w:szCs w:val="16"/>
              </w:rPr>
              <w:t>плечевой отруб (лопаточная часть)</w:t>
            </w:r>
            <w:r w:rsidRPr="00C552D8">
              <w:rPr>
                <w:sz w:val="16"/>
                <w:szCs w:val="16"/>
              </w:rPr>
              <w:t>, без кости.</w:t>
            </w:r>
          </w:p>
          <w:p w:rsidR="00A11391" w:rsidRPr="00C552D8" w:rsidRDefault="00A11391" w:rsidP="00AC018B">
            <w:pPr>
              <w:rPr>
                <w:sz w:val="16"/>
                <w:szCs w:val="16"/>
              </w:rPr>
            </w:pPr>
            <w:r w:rsidRPr="00C552D8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C552D8">
              <w:rPr>
                <w:sz w:val="16"/>
                <w:szCs w:val="16"/>
              </w:rPr>
              <w:t>вла</w:t>
            </w:r>
            <w:r w:rsidRPr="00C552D8">
              <w:rPr>
                <w:sz w:val="16"/>
                <w:szCs w:val="16"/>
              </w:rPr>
              <w:t>ж</w:t>
            </w:r>
            <w:r w:rsidRPr="00C552D8">
              <w:rPr>
                <w:sz w:val="16"/>
                <w:szCs w:val="16"/>
              </w:rPr>
              <w:t>ное</w:t>
            </w:r>
            <w:proofErr w:type="gramEnd"/>
            <w:r w:rsidRPr="00C552D8">
              <w:rPr>
                <w:sz w:val="16"/>
                <w:szCs w:val="16"/>
              </w:rPr>
              <w:t>; цвет от светло-красного до темно-красного.</w:t>
            </w:r>
          </w:p>
          <w:p w:rsidR="00A11391" w:rsidRPr="00C552D8" w:rsidRDefault="00A11391" w:rsidP="00AC018B">
            <w:pPr>
              <w:rPr>
                <w:sz w:val="16"/>
                <w:szCs w:val="16"/>
              </w:rPr>
            </w:pPr>
            <w:r w:rsidRPr="00C552D8">
              <w:rPr>
                <w:sz w:val="16"/>
                <w:szCs w:val="16"/>
              </w:rPr>
              <w:t>Консистенция (после размораживания) – на ра</w:t>
            </w:r>
            <w:r w:rsidRPr="00C552D8">
              <w:rPr>
                <w:sz w:val="16"/>
                <w:szCs w:val="16"/>
              </w:rPr>
              <w:t>з</w:t>
            </w:r>
            <w:r w:rsidRPr="00C552D8">
              <w:rPr>
                <w:sz w:val="16"/>
                <w:szCs w:val="16"/>
              </w:rPr>
              <w:t>резе мясо плотное, упругое, образующаяся при надавливании пальцем ямка быстро выравнив</w:t>
            </w:r>
            <w:r w:rsidRPr="00C552D8">
              <w:rPr>
                <w:sz w:val="16"/>
                <w:szCs w:val="16"/>
              </w:rPr>
              <w:t>а</w:t>
            </w:r>
            <w:r w:rsidRPr="00C552D8">
              <w:rPr>
                <w:sz w:val="16"/>
                <w:szCs w:val="16"/>
              </w:rPr>
              <w:t>ется.</w:t>
            </w:r>
          </w:p>
          <w:p w:rsidR="00A11391" w:rsidRPr="00C552D8" w:rsidRDefault="00A11391" w:rsidP="00AC018B">
            <w:pPr>
              <w:rPr>
                <w:sz w:val="16"/>
                <w:szCs w:val="16"/>
              </w:rPr>
            </w:pPr>
            <w:r w:rsidRPr="00C552D8">
              <w:rPr>
                <w:sz w:val="16"/>
                <w:szCs w:val="16"/>
              </w:rPr>
              <w:t>Запах (после размораживания) – специфический, сво</w:t>
            </w:r>
            <w:r w:rsidRPr="00C552D8">
              <w:rPr>
                <w:sz w:val="16"/>
                <w:szCs w:val="16"/>
              </w:rPr>
              <w:t>й</w:t>
            </w:r>
            <w:r w:rsidRPr="00C552D8">
              <w:rPr>
                <w:sz w:val="16"/>
                <w:szCs w:val="16"/>
              </w:rPr>
              <w:t>ственный свежему мясу.</w:t>
            </w:r>
          </w:p>
          <w:p w:rsidR="00A11391" w:rsidRPr="00C552D8" w:rsidRDefault="00A11391" w:rsidP="00AC018B">
            <w:pPr>
              <w:rPr>
                <w:sz w:val="16"/>
                <w:szCs w:val="16"/>
              </w:rPr>
            </w:pPr>
            <w:r w:rsidRPr="00C552D8">
              <w:rPr>
                <w:sz w:val="16"/>
                <w:szCs w:val="16"/>
              </w:rPr>
              <w:t>Упаковка – картонная коробка.</w:t>
            </w:r>
          </w:p>
          <w:p w:rsidR="00A11391" w:rsidRPr="005B6389" w:rsidRDefault="00A11391" w:rsidP="00AC018B">
            <w:pPr>
              <w:rPr>
                <w:sz w:val="16"/>
                <w:szCs w:val="16"/>
              </w:rPr>
            </w:pPr>
            <w:r w:rsidRPr="00C552D8">
              <w:rPr>
                <w:sz w:val="16"/>
                <w:szCs w:val="16"/>
              </w:rPr>
              <w:t>Соответствие ГОСТ 31797-2012.</w:t>
            </w:r>
          </w:p>
        </w:tc>
        <w:tc>
          <w:tcPr>
            <w:tcW w:w="1134" w:type="dxa"/>
            <w:vAlign w:val="center"/>
          </w:tcPr>
          <w:p w:rsidR="00A11391" w:rsidRPr="00713F78" w:rsidRDefault="00A11391" w:rsidP="00A1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A11391" w:rsidRPr="00A11391" w:rsidRDefault="00A11391" w:rsidP="00A1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1391" w:rsidRPr="00D3770C" w:rsidTr="00A11391">
        <w:trPr>
          <w:trHeight w:val="923"/>
          <w:jc w:val="center"/>
        </w:trPr>
        <w:tc>
          <w:tcPr>
            <w:tcW w:w="560" w:type="dxa"/>
            <w:vAlign w:val="center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A11391" w:rsidRPr="00E44170" w:rsidRDefault="00A11391" w:rsidP="00A1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10.11.32.110</w:t>
            </w:r>
          </w:p>
        </w:tc>
        <w:tc>
          <w:tcPr>
            <w:tcW w:w="1134" w:type="dxa"/>
            <w:vAlign w:val="center"/>
          </w:tcPr>
          <w:p w:rsidR="00A11391" w:rsidRPr="00E44170" w:rsidRDefault="00A11391" w:rsidP="00A11391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772" w:type="dxa"/>
            <w:vAlign w:val="center"/>
          </w:tcPr>
          <w:p w:rsidR="00A11391" w:rsidRPr="00383899" w:rsidRDefault="00A11391" w:rsidP="00A113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Свинина</w:t>
            </w:r>
            <w:r w:rsidRPr="00383899">
              <w:rPr>
                <w:sz w:val="20"/>
              </w:rPr>
              <w:t xml:space="preserve"> </w:t>
            </w:r>
            <w:r>
              <w:rPr>
                <w:sz w:val="20"/>
              </w:rPr>
              <w:t>плеч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вой отруб</w:t>
            </w:r>
          </w:p>
        </w:tc>
        <w:tc>
          <w:tcPr>
            <w:tcW w:w="3615" w:type="dxa"/>
          </w:tcPr>
          <w:p w:rsidR="00A11391" w:rsidRPr="00086B9D" w:rsidRDefault="00A11391" w:rsidP="00AC018B">
            <w:pPr>
              <w:rPr>
                <w:sz w:val="16"/>
                <w:szCs w:val="16"/>
              </w:rPr>
            </w:pPr>
            <w:r w:rsidRPr="00086B9D">
              <w:rPr>
                <w:sz w:val="16"/>
                <w:szCs w:val="16"/>
              </w:rPr>
              <w:t xml:space="preserve">Вид продукции – </w:t>
            </w:r>
            <w:proofErr w:type="gramStart"/>
            <w:r w:rsidRPr="00086B9D">
              <w:rPr>
                <w:sz w:val="16"/>
                <w:szCs w:val="16"/>
              </w:rPr>
              <w:t>мясо свинины</w:t>
            </w:r>
            <w:proofErr w:type="gramEnd"/>
            <w:r w:rsidRPr="00086B9D">
              <w:rPr>
                <w:sz w:val="16"/>
                <w:szCs w:val="16"/>
              </w:rPr>
              <w:t xml:space="preserve">, промышленный забой, </w:t>
            </w:r>
            <w:r>
              <w:rPr>
                <w:sz w:val="16"/>
                <w:szCs w:val="16"/>
              </w:rPr>
              <w:t>плечевой отруб (лопаточная часть)</w:t>
            </w:r>
            <w:r w:rsidRPr="00086B9D">
              <w:rPr>
                <w:sz w:val="16"/>
                <w:szCs w:val="16"/>
              </w:rPr>
              <w:t>, без кости, морож</w:t>
            </w:r>
            <w:r w:rsidRPr="00086B9D">
              <w:rPr>
                <w:sz w:val="16"/>
                <w:szCs w:val="16"/>
              </w:rPr>
              <w:t>е</w:t>
            </w:r>
            <w:r w:rsidRPr="00086B9D">
              <w:rPr>
                <w:sz w:val="16"/>
                <w:szCs w:val="16"/>
              </w:rPr>
              <w:t>ное.</w:t>
            </w:r>
          </w:p>
          <w:p w:rsidR="00A11391" w:rsidRPr="00086B9D" w:rsidRDefault="00A11391" w:rsidP="00AC018B">
            <w:pPr>
              <w:rPr>
                <w:sz w:val="16"/>
                <w:szCs w:val="16"/>
              </w:rPr>
            </w:pPr>
            <w:r w:rsidRPr="00086B9D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086B9D">
              <w:rPr>
                <w:sz w:val="16"/>
                <w:szCs w:val="16"/>
              </w:rPr>
              <w:t>вла</w:t>
            </w:r>
            <w:r w:rsidRPr="00086B9D">
              <w:rPr>
                <w:sz w:val="16"/>
                <w:szCs w:val="16"/>
              </w:rPr>
              <w:t>ж</w:t>
            </w:r>
            <w:r w:rsidRPr="00086B9D">
              <w:rPr>
                <w:sz w:val="16"/>
                <w:szCs w:val="16"/>
              </w:rPr>
              <w:t>ное</w:t>
            </w:r>
            <w:proofErr w:type="gramEnd"/>
            <w:r w:rsidRPr="00086B9D">
              <w:rPr>
                <w:sz w:val="16"/>
                <w:szCs w:val="16"/>
              </w:rPr>
              <w:t>; цвет от светло-красного до красного.</w:t>
            </w:r>
          </w:p>
          <w:p w:rsidR="00A11391" w:rsidRPr="00086B9D" w:rsidRDefault="00A11391" w:rsidP="00AC018B">
            <w:pPr>
              <w:rPr>
                <w:sz w:val="16"/>
                <w:szCs w:val="16"/>
              </w:rPr>
            </w:pPr>
            <w:r w:rsidRPr="00086B9D">
              <w:rPr>
                <w:sz w:val="16"/>
                <w:szCs w:val="16"/>
              </w:rPr>
              <w:t>Консистенция (после размораживания) – на ра</w:t>
            </w:r>
            <w:r w:rsidRPr="00086B9D">
              <w:rPr>
                <w:sz w:val="16"/>
                <w:szCs w:val="16"/>
              </w:rPr>
              <w:t>з</w:t>
            </w:r>
            <w:r w:rsidRPr="00086B9D">
              <w:rPr>
                <w:sz w:val="16"/>
                <w:szCs w:val="16"/>
              </w:rPr>
              <w:t>резе мясо плотное, упругое, образующаяся при надавливании пальцем ямка быстро выравнив</w:t>
            </w:r>
            <w:r w:rsidRPr="00086B9D">
              <w:rPr>
                <w:sz w:val="16"/>
                <w:szCs w:val="16"/>
              </w:rPr>
              <w:t>а</w:t>
            </w:r>
            <w:r w:rsidRPr="00086B9D">
              <w:rPr>
                <w:sz w:val="16"/>
                <w:szCs w:val="16"/>
              </w:rPr>
              <w:t>ется.</w:t>
            </w:r>
          </w:p>
          <w:p w:rsidR="00A11391" w:rsidRPr="00086B9D" w:rsidRDefault="00A11391" w:rsidP="00AC018B">
            <w:pPr>
              <w:rPr>
                <w:sz w:val="16"/>
                <w:szCs w:val="16"/>
              </w:rPr>
            </w:pPr>
            <w:r w:rsidRPr="00086B9D">
              <w:rPr>
                <w:sz w:val="16"/>
                <w:szCs w:val="16"/>
              </w:rPr>
              <w:t>Запах (после размораживания) – специфический, сво</w:t>
            </w:r>
            <w:r w:rsidRPr="00086B9D">
              <w:rPr>
                <w:sz w:val="16"/>
                <w:szCs w:val="16"/>
              </w:rPr>
              <w:t>й</w:t>
            </w:r>
            <w:r w:rsidRPr="00086B9D">
              <w:rPr>
                <w:sz w:val="16"/>
                <w:szCs w:val="16"/>
              </w:rPr>
              <w:t>ственный свежему мясу.</w:t>
            </w:r>
          </w:p>
          <w:p w:rsidR="00A11391" w:rsidRPr="00086B9D" w:rsidRDefault="00A11391" w:rsidP="00AC018B">
            <w:pPr>
              <w:rPr>
                <w:sz w:val="16"/>
                <w:szCs w:val="16"/>
              </w:rPr>
            </w:pPr>
            <w:r w:rsidRPr="00086B9D">
              <w:rPr>
                <w:sz w:val="16"/>
                <w:szCs w:val="16"/>
              </w:rPr>
              <w:t>Упаковка – картонная коробка.</w:t>
            </w:r>
          </w:p>
          <w:p w:rsidR="00A11391" w:rsidRPr="00D3770C" w:rsidRDefault="00A11391" w:rsidP="00AC018B">
            <w:pPr>
              <w:rPr>
                <w:sz w:val="16"/>
                <w:szCs w:val="16"/>
              </w:rPr>
            </w:pPr>
            <w:r w:rsidRPr="00086B9D">
              <w:rPr>
                <w:sz w:val="16"/>
                <w:szCs w:val="16"/>
              </w:rPr>
              <w:t>Соответствие ГОСТ 31778-2012.</w:t>
            </w:r>
          </w:p>
        </w:tc>
        <w:tc>
          <w:tcPr>
            <w:tcW w:w="1134" w:type="dxa"/>
            <w:vAlign w:val="center"/>
          </w:tcPr>
          <w:p w:rsidR="00A11391" w:rsidRPr="0030404F" w:rsidRDefault="00A11391" w:rsidP="00A11391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A11391" w:rsidRPr="0051561C" w:rsidRDefault="00A11391" w:rsidP="0005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1391" w:rsidRPr="00D3770C" w:rsidTr="00A11391">
        <w:trPr>
          <w:trHeight w:val="923"/>
          <w:jc w:val="center"/>
        </w:trPr>
        <w:tc>
          <w:tcPr>
            <w:tcW w:w="560" w:type="dxa"/>
            <w:vAlign w:val="center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A11391" w:rsidRPr="006E3BD9" w:rsidRDefault="00A11391" w:rsidP="00A11391">
            <w:pPr>
              <w:jc w:val="center"/>
              <w:rPr>
                <w:sz w:val="20"/>
                <w:szCs w:val="20"/>
              </w:rPr>
            </w:pPr>
            <w:r w:rsidRPr="006E3BD9">
              <w:rPr>
                <w:sz w:val="20"/>
                <w:szCs w:val="20"/>
              </w:rPr>
              <w:t>10.11.31.140</w:t>
            </w:r>
          </w:p>
        </w:tc>
        <w:tc>
          <w:tcPr>
            <w:tcW w:w="1134" w:type="dxa"/>
            <w:vAlign w:val="center"/>
          </w:tcPr>
          <w:p w:rsidR="00A11391" w:rsidRPr="006E3BD9" w:rsidRDefault="00A11391" w:rsidP="00A11391">
            <w:pPr>
              <w:jc w:val="center"/>
              <w:rPr>
                <w:sz w:val="20"/>
                <w:szCs w:val="20"/>
              </w:rPr>
            </w:pPr>
            <w:r w:rsidRPr="006E3BD9">
              <w:rPr>
                <w:sz w:val="20"/>
                <w:szCs w:val="20"/>
              </w:rPr>
              <w:t>10.11.3</w:t>
            </w:r>
          </w:p>
        </w:tc>
        <w:tc>
          <w:tcPr>
            <w:tcW w:w="1772" w:type="dxa"/>
            <w:vAlign w:val="center"/>
          </w:tcPr>
          <w:p w:rsidR="00A11391" w:rsidRPr="006E3BD9" w:rsidRDefault="00A11391" w:rsidP="00A11391">
            <w:pPr>
              <w:jc w:val="center"/>
              <w:rPr>
                <w:sz w:val="20"/>
                <w:szCs w:val="20"/>
              </w:rPr>
            </w:pPr>
            <w:r w:rsidRPr="006E3BD9"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3615" w:type="dxa"/>
          </w:tcPr>
          <w:p w:rsidR="00A11391" w:rsidRDefault="00A11391" w:rsidP="00AC01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продукции – </w:t>
            </w:r>
            <w:r w:rsidRPr="00EA3DF1">
              <w:rPr>
                <w:rFonts w:ascii="Times New Roman" w:hAnsi="Times New Roman" w:cs="Times New Roman"/>
                <w:sz w:val="16"/>
                <w:szCs w:val="16"/>
              </w:rPr>
              <w:t>субпродукт первой категории – п</w:t>
            </w:r>
            <w:r w:rsidRPr="00EA3DF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A3DF1">
              <w:rPr>
                <w:rFonts w:ascii="Times New Roman" w:hAnsi="Times New Roman" w:cs="Times New Roman"/>
                <w:sz w:val="16"/>
                <w:szCs w:val="16"/>
              </w:rPr>
              <w:t>чень говяжья замороженная, крупный кусок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11391" w:rsidRDefault="00A11391" w:rsidP="00AC018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>
              <w:rPr>
                <w:sz w:val="16"/>
                <w:szCs w:val="16"/>
              </w:rPr>
              <w:t>вла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ное</w:t>
            </w:r>
            <w:proofErr w:type="gramEnd"/>
            <w:r>
              <w:rPr>
                <w:sz w:val="16"/>
                <w:szCs w:val="16"/>
              </w:rPr>
              <w:t xml:space="preserve">; цвет </w:t>
            </w:r>
            <w:r w:rsidRPr="0048139F">
              <w:rPr>
                <w:sz w:val="16"/>
                <w:szCs w:val="16"/>
              </w:rPr>
              <w:t>темно-красн</w:t>
            </w:r>
            <w:r>
              <w:rPr>
                <w:sz w:val="16"/>
                <w:szCs w:val="16"/>
              </w:rPr>
              <w:t>ый</w:t>
            </w:r>
            <w:r w:rsidRPr="0048139F">
              <w:rPr>
                <w:sz w:val="16"/>
                <w:szCs w:val="16"/>
              </w:rPr>
              <w:t>.</w:t>
            </w:r>
          </w:p>
          <w:p w:rsidR="00A11391" w:rsidRPr="00D9626D" w:rsidRDefault="00A11391" w:rsidP="00AC018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Консистенция (после размораживания) – </w:t>
            </w:r>
            <w:r w:rsidRPr="0048139F">
              <w:rPr>
                <w:sz w:val="16"/>
                <w:szCs w:val="16"/>
              </w:rPr>
              <w:t>на ра</w:t>
            </w:r>
            <w:r w:rsidRPr="0048139F">
              <w:rPr>
                <w:sz w:val="16"/>
                <w:szCs w:val="16"/>
              </w:rPr>
              <w:t>з</w:t>
            </w:r>
            <w:r w:rsidRPr="0048139F">
              <w:rPr>
                <w:sz w:val="16"/>
                <w:szCs w:val="16"/>
              </w:rPr>
              <w:t xml:space="preserve">резе </w:t>
            </w:r>
            <w:r>
              <w:rPr>
                <w:sz w:val="16"/>
                <w:szCs w:val="16"/>
              </w:rPr>
              <w:t>печени</w:t>
            </w:r>
            <w:r w:rsidRPr="0048139F">
              <w:rPr>
                <w:sz w:val="16"/>
                <w:szCs w:val="16"/>
              </w:rPr>
              <w:t xml:space="preserve"> </w:t>
            </w:r>
            <w:proofErr w:type="gramStart"/>
            <w:r w:rsidRPr="0048139F">
              <w:rPr>
                <w:sz w:val="16"/>
                <w:szCs w:val="16"/>
              </w:rPr>
              <w:t>плотное</w:t>
            </w:r>
            <w:proofErr w:type="gramEnd"/>
            <w:r w:rsidRPr="0048139F">
              <w:rPr>
                <w:sz w:val="16"/>
                <w:szCs w:val="16"/>
              </w:rPr>
              <w:t>, упругое, образующаяся при надавливании пальцем ямка быстро выравнив</w:t>
            </w:r>
            <w:r w:rsidRPr="0048139F">
              <w:rPr>
                <w:sz w:val="16"/>
                <w:szCs w:val="16"/>
              </w:rPr>
              <w:t>а</w:t>
            </w:r>
            <w:r w:rsidRPr="0048139F">
              <w:rPr>
                <w:sz w:val="16"/>
                <w:szCs w:val="16"/>
              </w:rPr>
              <w:t>ется.</w:t>
            </w:r>
          </w:p>
          <w:p w:rsidR="00A11391" w:rsidRDefault="00A11391" w:rsidP="00AC018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Запах (после размораживания) – </w:t>
            </w:r>
            <w:r w:rsidRPr="0048139F">
              <w:rPr>
                <w:sz w:val="16"/>
                <w:szCs w:val="16"/>
              </w:rPr>
              <w:t>специфический, сво</w:t>
            </w:r>
            <w:r w:rsidRPr="0048139F">
              <w:rPr>
                <w:sz w:val="16"/>
                <w:szCs w:val="16"/>
              </w:rPr>
              <w:t>й</w:t>
            </w:r>
            <w:r w:rsidRPr="0048139F">
              <w:rPr>
                <w:sz w:val="16"/>
                <w:szCs w:val="16"/>
              </w:rPr>
              <w:t>ственный све</w:t>
            </w:r>
            <w:r>
              <w:rPr>
                <w:sz w:val="16"/>
                <w:szCs w:val="16"/>
              </w:rPr>
              <w:t>жей</w:t>
            </w:r>
            <w:r w:rsidRPr="004813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печени.</w:t>
            </w:r>
          </w:p>
          <w:p w:rsidR="00A11391" w:rsidRPr="00AE1273" w:rsidRDefault="00A11391" w:rsidP="00AC018B">
            <w:pPr>
              <w:jc w:val="both"/>
              <w:rPr>
                <w:sz w:val="16"/>
                <w:szCs w:val="16"/>
              </w:rPr>
            </w:pPr>
            <w:r w:rsidRPr="00AE1273">
              <w:rPr>
                <w:sz w:val="16"/>
                <w:szCs w:val="16"/>
              </w:rPr>
              <w:t>Упаковка – картонная коробка.</w:t>
            </w:r>
          </w:p>
          <w:p w:rsidR="00A11391" w:rsidRPr="007A5700" w:rsidRDefault="00A11391" w:rsidP="00AC018B">
            <w:pPr>
              <w:jc w:val="both"/>
              <w:rPr>
                <w:sz w:val="16"/>
                <w:szCs w:val="16"/>
              </w:rPr>
            </w:pPr>
            <w:r w:rsidRPr="00AE1273">
              <w:rPr>
                <w:sz w:val="16"/>
                <w:szCs w:val="16"/>
              </w:rPr>
              <w:t xml:space="preserve">Соответствие </w:t>
            </w:r>
            <w:r w:rsidRPr="007A5700">
              <w:rPr>
                <w:sz w:val="16"/>
                <w:szCs w:val="16"/>
              </w:rPr>
              <w:t xml:space="preserve">ГОСТ </w:t>
            </w:r>
            <w:r>
              <w:rPr>
                <w:sz w:val="16"/>
                <w:szCs w:val="16"/>
              </w:rPr>
              <w:t>32244-2013.</w:t>
            </w:r>
          </w:p>
        </w:tc>
        <w:tc>
          <w:tcPr>
            <w:tcW w:w="1134" w:type="dxa"/>
            <w:vAlign w:val="center"/>
          </w:tcPr>
          <w:p w:rsidR="00A11391" w:rsidRPr="00905ECF" w:rsidRDefault="00A11391" w:rsidP="00A11391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A11391" w:rsidRPr="0051561C" w:rsidRDefault="00A11391" w:rsidP="00A1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11391" w:rsidRPr="00D3770C" w:rsidTr="00A11391">
        <w:trPr>
          <w:trHeight w:val="923"/>
          <w:jc w:val="center"/>
        </w:trPr>
        <w:tc>
          <w:tcPr>
            <w:tcW w:w="560" w:type="dxa"/>
            <w:vAlign w:val="center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A11391" w:rsidRPr="00D120B3" w:rsidRDefault="00A11391" w:rsidP="00A11391">
            <w:pPr>
              <w:jc w:val="center"/>
              <w:rPr>
                <w:sz w:val="20"/>
                <w:szCs w:val="20"/>
              </w:rPr>
            </w:pPr>
            <w:r w:rsidRPr="00D120B3">
              <w:rPr>
                <w:sz w:val="20"/>
                <w:szCs w:val="20"/>
              </w:rPr>
              <w:t>10.12.20.110</w:t>
            </w:r>
          </w:p>
        </w:tc>
        <w:tc>
          <w:tcPr>
            <w:tcW w:w="1134" w:type="dxa"/>
            <w:vAlign w:val="center"/>
          </w:tcPr>
          <w:p w:rsidR="00A11391" w:rsidRPr="00D120B3" w:rsidRDefault="00A11391" w:rsidP="00A11391">
            <w:pPr>
              <w:jc w:val="center"/>
              <w:rPr>
                <w:sz w:val="20"/>
                <w:szCs w:val="20"/>
              </w:rPr>
            </w:pPr>
            <w:r w:rsidRPr="00D120B3">
              <w:rPr>
                <w:sz w:val="20"/>
                <w:szCs w:val="20"/>
              </w:rPr>
              <w:t>10.12.2</w:t>
            </w:r>
          </w:p>
        </w:tc>
        <w:tc>
          <w:tcPr>
            <w:tcW w:w="1772" w:type="dxa"/>
            <w:vAlign w:val="center"/>
          </w:tcPr>
          <w:p w:rsidR="00A11391" w:rsidRPr="00D120B3" w:rsidRDefault="00A11391" w:rsidP="00A11391">
            <w:pPr>
              <w:jc w:val="center"/>
              <w:rPr>
                <w:sz w:val="20"/>
                <w:szCs w:val="20"/>
              </w:rPr>
            </w:pPr>
            <w:r w:rsidRPr="00D120B3">
              <w:rPr>
                <w:sz w:val="20"/>
                <w:szCs w:val="20"/>
              </w:rPr>
              <w:t>Цыплята</w:t>
            </w:r>
          </w:p>
          <w:p w:rsidR="00A11391" w:rsidRPr="00D120B3" w:rsidRDefault="00A11391" w:rsidP="00A11391">
            <w:pPr>
              <w:jc w:val="center"/>
              <w:rPr>
                <w:sz w:val="20"/>
                <w:szCs w:val="20"/>
              </w:rPr>
            </w:pPr>
            <w:r w:rsidRPr="00D120B3">
              <w:rPr>
                <w:sz w:val="20"/>
                <w:szCs w:val="20"/>
              </w:rPr>
              <w:t>бройлерные</w:t>
            </w:r>
          </w:p>
        </w:tc>
        <w:tc>
          <w:tcPr>
            <w:tcW w:w="3615" w:type="dxa"/>
          </w:tcPr>
          <w:p w:rsidR="00A11391" w:rsidRPr="003F2787" w:rsidRDefault="00A11391" w:rsidP="00AC018B">
            <w:pPr>
              <w:rPr>
                <w:sz w:val="16"/>
                <w:szCs w:val="16"/>
              </w:rPr>
            </w:pPr>
            <w:r w:rsidRPr="003F2787">
              <w:rPr>
                <w:sz w:val="16"/>
                <w:szCs w:val="16"/>
              </w:rPr>
              <w:t>Вид продукции – мясо птицы,</w:t>
            </w:r>
            <w:r>
              <w:rPr>
                <w:sz w:val="16"/>
                <w:szCs w:val="16"/>
              </w:rPr>
              <w:t xml:space="preserve"> не ниже</w:t>
            </w:r>
            <w:r w:rsidRPr="003F2787">
              <w:rPr>
                <w:sz w:val="16"/>
                <w:szCs w:val="16"/>
              </w:rPr>
              <w:t xml:space="preserve"> первой катег</w:t>
            </w:r>
            <w:r w:rsidRPr="003F2787">
              <w:rPr>
                <w:sz w:val="16"/>
                <w:szCs w:val="16"/>
              </w:rPr>
              <w:t>о</w:t>
            </w:r>
            <w:r w:rsidRPr="003F2787">
              <w:rPr>
                <w:sz w:val="16"/>
                <w:szCs w:val="16"/>
              </w:rPr>
              <w:t>рии, промышленный забой, мороженое, потрошенное.</w:t>
            </w:r>
          </w:p>
          <w:p w:rsidR="00A11391" w:rsidRPr="003F2787" w:rsidRDefault="00A11391" w:rsidP="00AC018B">
            <w:pPr>
              <w:rPr>
                <w:sz w:val="16"/>
                <w:szCs w:val="16"/>
              </w:rPr>
            </w:pPr>
            <w:r w:rsidRPr="003F2787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3F2787">
              <w:rPr>
                <w:sz w:val="16"/>
                <w:szCs w:val="16"/>
              </w:rPr>
              <w:t>влажное</w:t>
            </w:r>
            <w:proofErr w:type="gramEnd"/>
            <w:r w:rsidRPr="003F2787">
              <w:rPr>
                <w:sz w:val="16"/>
                <w:szCs w:val="16"/>
              </w:rPr>
              <w:t>; цвет мяса от бледно-розового до  све</w:t>
            </w:r>
            <w:r w:rsidRPr="003F2787">
              <w:rPr>
                <w:sz w:val="16"/>
                <w:szCs w:val="16"/>
              </w:rPr>
              <w:t>т</w:t>
            </w:r>
            <w:r w:rsidRPr="003F2787">
              <w:rPr>
                <w:sz w:val="16"/>
                <w:szCs w:val="16"/>
              </w:rPr>
              <w:t>ло-красного; цвет кожи – бледно-желтый с роз</w:t>
            </w:r>
            <w:r w:rsidRPr="003F2787">
              <w:rPr>
                <w:sz w:val="16"/>
                <w:szCs w:val="16"/>
              </w:rPr>
              <w:t>о</w:t>
            </w:r>
            <w:r w:rsidRPr="003F2787">
              <w:rPr>
                <w:sz w:val="16"/>
                <w:szCs w:val="16"/>
              </w:rPr>
              <w:t>вым оттенком</w:t>
            </w:r>
            <w:r>
              <w:rPr>
                <w:sz w:val="16"/>
                <w:szCs w:val="16"/>
              </w:rPr>
              <w:t>, без перьев</w:t>
            </w:r>
            <w:r w:rsidRPr="003F2787">
              <w:rPr>
                <w:sz w:val="16"/>
                <w:szCs w:val="16"/>
              </w:rPr>
              <w:t>.</w:t>
            </w:r>
          </w:p>
          <w:p w:rsidR="00A11391" w:rsidRPr="003F2787" w:rsidRDefault="00A11391" w:rsidP="00AC018B">
            <w:pPr>
              <w:rPr>
                <w:sz w:val="16"/>
                <w:szCs w:val="16"/>
              </w:rPr>
            </w:pPr>
            <w:r w:rsidRPr="003F2787">
              <w:rPr>
                <w:sz w:val="16"/>
                <w:szCs w:val="16"/>
              </w:rPr>
              <w:t>Консистенция (после размораживания) – на ра</w:t>
            </w:r>
            <w:r w:rsidRPr="003F2787">
              <w:rPr>
                <w:sz w:val="16"/>
                <w:szCs w:val="16"/>
              </w:rPr>
              <w:t>з</w:t>
            </w:r>
            <w:r w:rsidRPr="003F2787">
              <w:rPr>
                <w:sz w:val="16"/>
                <w:szCs w:val="16"/>
              </w:rPr>
              <w:t>резе мясо плотное, упругое, образующаяся при надавливании пальцем ямка быстро выравнив</w:t>
            </w:r>
            <w:r w:rsidRPr="003F2787">
              <w:rPr>
                <w:sz w:val="16"/>
                <w:szCs w:val="16"/>
              </w:rPr>
              <w:t>а</w:t>
            </w:r>
            <w:r w:rsidRPr="003F2787">
              <w:rPr>
                <w:sz w:val="16"/>
                <w:szCs w:val="16"/>
              </w:rPr>
              <w:t>ется.</w:t>
            </w:r>
          </w:p>
          <w:p w:rsidR="00A11391" w:rsidRPr="003F2787" w:rsidRDefault="00A11391" w:rsidP="00AC018B">
            <w:pPr>
              <w:rPr>
                <w:sz w:val="16"/>
                <w:szCs w:val="16"/>
              </w:rPr>
            </w:pPr>
            <w:r w:rsidRPr="003F2787">
              <w:rPr>
                <w:sz w:val="16"/>
                <w:szCs w:val="16"/>
              </w:rPr>
              <w:t>Запах (после размораживания) – специфический, сво</w:t>
            </w:r>
            <w:r w:rsidRPr="003F2787">
              <w:rPr>
                <w:sz w:val="16"/>
                <w:szCs w:val="16"/>
              </w:rPr>
              <w:t>й</w:t>
            </w:r>
            <w:r w:rsidRPr="003F2787">
              <w:rPr>
                <w:sz w:val="16"/>
                <w:szCs w:val="16"/>
              </w:rPr>
              <w:t>ственный свежему мясу птицы.</w:t>
            </w:r>
          </w:p>
          <w:p w:rsidR="00A11391" w:rsidRPr="003F2787" w:rsidRDefault="00A11391" w:rsidP="00AC018B">
            <w:pPr>
              <w:rPr>
                <w:sz w:val="16"/>
                <w:szCs w:val="16"/>
              </w:rPr>
            </w:pPr>
            <w:r w:rsidRPr="003F2787">
              <w:rPr>
                <w:sz w:val="16"/>
                <w:szCs w:val="16"/>
              </w:rPr>
              <w:t>Упаковка – подложка или фасовочный пакет.</w:t>
            </w:r>
          </w:p>
          <w:p w:rsidR="00A11391" w:rsidRPr="00D3770C" w:rsidRDefault="00A11391" w:rsidP="00AC018B">
            <w:pPr>
              <w:rPr>
                <w:sz w:val="16"/>
                <w:szCs w:val="16"/>
              </w:rPr>
            </w:pPr>
            <w:r w:rsidRPr="003F2787">
              <w:rPr>
                <w:sz w:val="16"/>
                <w:szCs w:val="16"/>
              </w:rPr>
              <w:t>Соответствие ГОСТ 31962-2013.</w:t>
            </w:r>
          </w:p>
        </w:tc>
        <w:tc>
          <w:tcPr>
            <w:tcW w:w="1134" w:type="dxa"/>
            <w:vAlign w:val="center"/>
          </w:tcPr>
          <w:p w:rsidR="00A11391" w:rsidRPr="001D7995" w:rsidRDefault="00A11391" w:rsidP="00A11391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A11391" w:rsidRPr="00783B13" w:rsidRDefault="00A11391" w:rsidP="0005215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C84BBE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C84BBE" w:rsidRPr="008A4E15" w:rsidRDefault="00C84BBE" w:rsidP="00C84BB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C84BBE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C84BBE" w:rsidRPr="00335F13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>) ветеринарное свидетельство;</w:t>
      </w:r>
    </w:p>
    <w:p w:rsidR="00C84BBE" w:rsidRPr="009B50F8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Default="00C84BBE" w:rsidP="00C84BBE">
      <w:pPr>
        <w:jc w:val="both"/>
        <w:rPr>
          <w:noProof/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C84BBE" w:rsidRDefault="00C84BBE" w:rsidP="00C84BBE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A11391">
        <w:rPr>
          <w:b/>
          <w:color w:val="FF0000"/>
          <w:sz w:val="20"/>
          <w:szCs w:val="20"/>
        </w:rPr>
        <w:t>128 658,</w:t>
      </w:r>
      <w:r w:rsidR="004564ED">
        <w:rPr>
          <w:b/>
          <w:color w:val="FF0000"/>
          <w:sz w:val="20"/>
          <w:szCs w:val="20"/>
        </w:rPr>
        <w:t>09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6834C7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184E05">
        <w:rPr>
          <w:i/>
          <w:sz w:val="20"/>
          <w:szCs w:val="20"/>
        </w:rPr>
        <w:t xml:space="preserve">сто </w:t>
      </w:r>
      <w:r w:rsidR="00A11391">
        <w:rPr>
          <w:i/>
          <w:sz w:val="20"/>
          <w:szCs w:val="20"/>
        </w:rPr>
        <w:t>двадцать восемь</w:t>
      </w:r>
      <w:r w:rsidR="00184E05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тысяч</w:t>
      </w:r>
      <w:r w:rsidR="00A11391">
        <w:rPr>
          <w:i/>
          <w:sz w:val="20"/>
          <w:szCs w:val="20"/>
        </w:rPr>
        <w:t xml:space="preserve"> шестьсот пятьдесят восемь </w:t>
      </w:r>
      <w:r w:rsidRPr="00AC62C7">
        <w:rPr>
          <w:i/>
          <w:sz w:val="20"/>
          <w:szCs w:val="20"/>
        </w:rPr>
        <w:t>рубл</w:t>
      </w:r>
      <w:r w:rsidR="006834C7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4564ED">
        <w:rPr>
          <w:i/>
          <w:sz w:val="20"/>
          <w:szCs w:val="20"/>
        </w:rPr>
        <w:t>09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lastRenderedPageBreak/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A11391" w:rsidRPr="008A4E15" w:rsidTr="00C71E3A">
        <w:trPr>
          <w:trHeight w:val="257"/>
        </w:trPr>
        <w:tc>
          <w:tcPr>
            <w:tcW w:w="2802" w:type="dxa"/>
            <w:vAlign w:val="center"/>
          </w:tcPr>
          <w:p w:rsidR="00A11391" w:rsidRPr="00713F78" w:rsidRDefault="00A11391" w:rsidP="00A113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Горбуша</w:t>
            </w:r>
          </w:p>
        </w:tc>
        <w:tc>
          <w:tcPr>
            <w:tcW w:w="1350" w:type="dxa"/>
          </w:tcPr>
          <w:p w:rsidR="00A11391" w:rsidRPr="0051561C" w:rsidRDefault="00A11391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11391" w:rsidRPr="00783B13" w:rsidRDefault="00A11391" w:rsidP="00AC018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263,33</w:t>
            </w:r>
          </w:p>
        </w:tc>
        <w:tc>
          <w:tcPr>
            <w:tcW w:w="2607" w:type="dxa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26 333,00</w:t>
            </w:r>
          </w:p>
        </w:tc>
      </w:tr>
      <w:tr w:rsidR="00A11391" w:rsidRPr="008A4E15" w:rsidTr="00C71E3A">
        <w:trPr>
          <w:trHeight w:val="257"/>
        </w:trPr>
        <w:tc>
          <w:tcPr>
            <w:tcW w:w="2802" w:type="dxa"/>
            <w:vAlign w:val="center"/>
          </w:tcPr>
          <w:p w:rsidR="00A11391" w:rsidRPr="0030404F" w:rsidRDefault="00A11391" w:rsidP="00A11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Минтай</w:t>
            </w:r>
          </w:p>
        </w:tc>
        <w:tc>
          <w:tcPr>
            <w:tcW w:w="1350" w:type="dxa"/>
          </w:tcPr>
          <w:p w:rsidR="00A11391" w:rsidRPr="0051561C" w:rsidRDefault="00A11391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11391" w:rsidRPr="0051561C" w:rsidRDefault="00A11391" w:rsidP="00AC0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156,67</w:t>
            </w:r>
          </w:p>
        </w:tc>
        <w:tc>
          <w:tcPr>
            <w:tcW w:w="2607" w:type="dxa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15 667,00</w:t>
            </w:r>
          </w:p>
        </w:tc>
      </w:tr>
      <w:tr w:rsidR="00A11391" w:rsidRPr="008A4E15" w:rsidTr="00C71E3A">
        <w:trPr>
          <w:trHeight w:val="257"/>
        </w:trPr>
        <w:tc>
          <w:tcPr>
            <w:tcW w:w="2802" w:type="dxa"/>
            <w:vAlign w:val="center"/>
          </w:tcPr>
          <w:p w:rsidR="00A11391" w:rsidRPr="00E44170" w:rsidRDefault="00A11391" w:rsidP="00A11391">
            <w:pPr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Крабов</w:t>
            </w:r>
            <w:r>
              <w:rPr>
                <w:sz w:val="20"/>
                <w:szCs w:val="20"/>
              </w:rPr>
              <w:t>ы</w:t>
            </w:r>
            <w:r w:rsidRPr="00E4417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пало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1350" w:type="dxa"/>
          </w:tcPr>
          <w:p w:rsidR="00A11391" w:rsidRPr="0051561C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11391" w:rsidRPr="0051561C" w:rsidRDefault="00A11391" w:rsidP="00AC0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66" w:type="dxa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122,67</w:t>
            </w:r>
          </w:p>
        </w:tc>
        <w:tc>
          <w:tcPr>
            <w:tcW w:w="2607" w:type="dxa"/>
          </w:tcPr>
          <w:p w:rsidR="00A11391" w:rsidRDefault="00A11391" w:rsidP="00456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858,6</w:t>
            </w:r>
            <w:r w:rsidR="004564ED">
              <w:rPr>
                <w:sz w:val="20"/>
                <w:szCs w:val="20"/>
              </w:rPr>
              <w:t>9</w:t>
            </w:r>
          </w:p>
        </w:tc>
      </w:tr>
      <w:tr w:rsidR="00A11391" w:rsidRPr="008A4E15" w:rsidTr="00C71E3A">
        <w:trPr>
          <w:trHeight w:val="257"/>
        </w:trPr>
        <w:tc>
          <w:tcPr>
            <w:tcW w:w="2802" w:type="dxa"/>
            <w:vAlign w:val="center"/>
          </w:tcPr>
          <w:p w:rsidR="00A11391" w:rsidRPr="00383899" w:rsidRDefault="00A11391" w:rsidP="00A11391">
            <w:pPr>
              <w:rPr>
                <w:sz w:val="20"/>
              </w:rPr>
            </w:pPr>
            <w:r w:rsidRPr="00383899">
              <w:rPr>
                <w:sz w:val="20"/>
              </w:rPr>
              <w:t xml:space="preserve">Говядина </w:t>
            </w:r>
            <w:r>
              <w:rPr>
                <w:sz w:val="20"/>
              </w:rPr>
              <w:t>плеч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вой отруб</w:t>
            </w:r>
          </w:p>
        </w:tc>
        <w:tc>
          <w:tcPr>
            <w:tcW w:w="1350" w:type="dxa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11391" w:rsidRPr="00A11391" w:rsidRDefault="00A11391" w:rsidP="00AC0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397,33</w:t>
            </w:r>
          </w:p>
        </w:tc>
        <w:tc>
          <w:tcPr>
            <w:tcW w:w="2607" w:type="dxa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39 733,00</w:t>
            </w:r>
          </w:p>
        </w:tc>
      </w:tr>
      <w:tr w:rsidR="00A11391" w:rsidRPr="008A4E15" w:rsidTr="00C71E3A">
        <w:trPr>
          <w:trHeight w:val="257"/>
        </w:trPr>
        <w:tc>
          <w:tcPr>
            <w:tcW w:w="2802" w:type="dxa"/>
            <w:vAlign w:val="center"/>
          </w:tcPr>
          <w:p w:rsidR="00A11391" w:rsidRPr="00383899" w:rsidRDefault="00A11391" w:rsidP="00A11391">
            <w:pPr>
              <w:rPr>
                <w:sz w:val="20"/>
              </w:rPr>
            </w:pPr>
            <w:r>
              <w:rPr>
                <w:sz w:val="20"/>
              </w:rPr>
              <w:t>Свинина</w:t>
            </w:r>
            <w:r w:rsidRPr="00383899">
              <w:rPr>
                <w:sz w:val="20"/>
              </w:rPr>
              <w:t xml:space="preserve"> </w:t>
            </w:r>
            <w:r>
              <w:rPr>
                <w:sz w:val="20"/>
              </w:rPr>
              <w:t>плеч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вой отруб</w:t>
            </w:r>
          </w:p>
        </w:tc>
        <w:tc>
          <w:tcPr>
            <w:tcW w:w="1350" w:type="dxa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11391" w:rsidRPr="0051561C" w:rsidRDefault="00A11391" w:rsidP="00AC0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326,00</w:t>
            </w:r>
          </w:p>
        </w:tc>
        <w:tc>
          <w:tcPr>
            <w:tcW w:w="2607" w:type="dxa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32 600,00</w:t>
            </w:r>
          </w:p>
        </w:tc>
      </w:tr>
      <w:tr w:rsidR="00A11391" w:rsidRPr="008A4E15" w:rsidTr="00C71E3A">
        <w:trPr>
          <w:trHeight w:val="257"/>
        </w:trPr>
        <w:tc>
          <w:tcPr>
            <w:tcW w:w="2802" w:type="dxa"/>
            <w:vAlign w:val="center"/>
          </w:tcPr>
          <w:p w:rsidR="00A11391" w:rsidRPr="006E3BD9" w:rsidRDefault="00A11391" w:rsidP="00A11391">
            <w:pPr>
              <w:rPr>
                <w:sz w:val="20"/>
                <w:szCs w:val="20"/>
              </w:rPr>
            </w:pPr>
            <w:r w:rsidRPr="006E3BD9"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1350" w:type="dxa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11391" w:rsidRPr="0051561C" w:rsidRDefault="00A11391" w:rsidP="00AC0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66" w:type="dxa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219,33</w:t>
            </w:r>
          </w:p>
        </w:tc>
        <w:tc>
          <w:tcPr>
            <w:tcW w:w="2607" w:type="dxa"/>
          </w:tcPr>
          <w:p w:rsidR="00A11391" w:rsidRDefault="004564ED" w:rsidP="00456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4 386,60</w:t>
            </w:r>
          </w:p>
        </w:tc>
      </w:tr>
      <w:tr w:rsidR="00A11391" w:rsidRPr="008A4E15" w:rsidTr="00C71E3A">
        <w:trPr>
          <w:trHeight w:val="257"/>
        </w:trPr>
        <w:tc>
          <w:tcPr>
            <w:tcW w:w="2802" w:type="dxa"/>
            <w:vAlign w:val="center"/>
          </w:tcPr>
          <w:p w:rsidR="00A11391" w:rsidRPr="00D120B3" w:rsidRDefault="00A11391" w:rsidP="00A11391">
            <w:pPr>
              <w:rPr>
                <w:sz w:val="20"/>
                <w:szCs w:val="20"/>
              </w:rPr>
            </w:pPr>
            <w:r w:rsidRPr="00D120B3">
              <w:rPr>
                <w:sz w:val="20"/>
                <w:szCs w:val="20"/>
              </w:rPr>
              <w:t>Цыплята</w:t>
            </w:r>
            <w:r>
              <w:rPr>
                <w:sz w:val="20"/>
                <w:szCs w:val="20"/>
              </w:rPr>
              <w:t xml:space="preserve"> </w:t>
            </w:r>
            <w:r w:rsidRPr="00D120B3">
              <w:rPr>
                <w:sz w:val="20"/>
                <w:szCs w:val="20"/>
              </w:rPr>
              <w:t>бройлерные</w:t>
            </w:r>
          </w:p>
        </w:tc>
        <w:tc>
          <w:tcPr>
            <w:tcW w:w="1350" w:type="dxa"/>
          </w:tcPr>
          <w:p w:rsidR="00A11391" w:rsidRDefault="00A11391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11391" w:rsidRPr="00783B13" w:rsidRDefault="00A11391" w:rsidP="00AC018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66" w:type="dxa"/>
          </w:tcPr>
          <w:p w:rsidR="00A11391" w:rsidRDefault="004564ED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151,33</w:t>
            </w:r>
          </w:p>
        </w:tc>
        <w:tc>
          <w:tcPr>
            <w:tcW w:w="2607" w:type="dxa"/>
          </w:tcPr>
          <w:p w:rsidR="00A11391" w:rsidRDefault="004564ED" w:rsidP="00456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9 079,80</w:t>
            </w:r>
          </w:p>
        </w:tc>
      </w:tr>
      <w:tr w:rsidR="00C71E3A" w:rsidRPr="008A4E15" w:rsidTr="00052157">
        <w:trPr>
          <w:trHeight w:val="257"/>
        </w:trPr>
        <w:tc>
          <w:tcPr>
            <w:tcW w:w="7817" w:type="dxa"/>
            <w:gridSpan w:val="4"/>
          </w:tcPr>
          <w:p w:rsidR="00C71E3A" w:rsidRDefault="00C71E3A" w:rsidP="00C71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</w:tcPr>
          <w:p w:rsidR="00C71E3A" w:rsidRDefault="004564ED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128 658,09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lastRenderedPageBreak/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4564ED">
        <w:rPr>
          <w:b/>
          <w:sz w:val="20"/>
          <w:szCs w:val="20"/>
        </w:rPr>
        <w:t>07</w:t>
      </w:r>
      <w:r w:rsidRPr="006A14D6">
        <w:rPr>
          <w:b/>
          <w:sz w:val="20"/>
          <w:szCs w:val="20"/>
        </w:rPr>
        <w:t xml:space="preserve">» </w:t>
      </w:r>
      <w:r w:rsidR="004564ED"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</w:t>
      </w:r>
      <w:r w:rsidR="004564ED">
        <w:rPr>
          <w:b/>
          <w:sz w:val="20"/>
          <w:szCs w:val="20"/>
        </w:rPr>
        <w:t>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4564ED">
        <w:rPr>
          <w:b/>
          <w:sz w:val="20"/>
          <w:szCs w:val="20"/>
        </w:rPr>
        <w:t>14</w:t>
      </w:r>
      <w:r w:rsidRPr="006A14D6">
        <w:rPr>
          <w:b/>
          <w:sz w:val="20"/>
          <w:szCs w:val="20"/>
        </w:rPr>
        <w:t xml:space="preserve">» </w:t>
      </w:r>
      <w:r w:rsidR="004564ED"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4564ED">
        <w:rPr>
          <w:b/>
          <w:sz w:val="20"/>
          <w:szCs w:val="20"/>
        </w:rPr>
        <w:t>07</w:t>
      </w:r>
      <w:r w:rsidRPr="006A14D6">
        <w:rPr>
          <w:b/>
          <w:sz w:val="20"/>
          <w:szCs w:val="20"/>
        </w:rPr>
        <w:t xml:space="preserve">» </w:t>
      </w:r>
      <w:r w:rsidR="004564ED"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Дата окончания под</w:t>
      </w:r>
      <w:bookmarkStart w:id="1" w:name="_GoBack"/>
      <w:bookmarkEnd w:id="1"/>
      <w:r w:rsidRPr="006A14D6">
        <w:rPr>
          <w:sz w:val="20"/>
          <w:szCs w:val="20"/>
        </w:rPr>
        <w:t xml:space="preserve">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4564ED">
        <w:rPr>
          <w:b/>
          <w:sz w:val="20"/>
          <w:szCs w:val="20"/>
        </w:rPr>
        <w:t>10</w:t>
      </w:r>
      <w:r w:rsidRPr="006A14D6">
        <w:rPr>
          <w:b/>
          <w:sz w:val="20"/>
          <w:szCs w:val="20"/>
        </w:rPr>
        <w:t xml:space="preserve">» </w:t>
      </w:r>
      <w:r w:rsidR="004564ED"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4564ED">
        <w:rPr>
          <w:b/>
          <w:sz w:val="20"/>
          <w:szCs w:val="20"/>
        </w:rPr>
        <w:t>15</w:t>
      </w:r>
      <w:r w:rsidRPr="00705002">
        <w:rPr>
          <w:b/>
          <w:sz w:val="20"/>
          <w:szCs w:val="20"/>
        </w:rPr>
        <w:t xml:space="preserve">» </w:t>
      </w:r>
      <w:r w:rsidR="004564ED">
        <w:rPr>
          <w:b/>
          <w:sz w:val="20"/>
          <w:szCs w:val="20"/>
        </w:rPr>
        <w:t>сентября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lastRenderedPageBreak/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lastRenderedPageBreak/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4564ED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БЦБК ФГБОУ ВО «БрГУ»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Т.В. </w:t>
      </w:r>
      <w:proofErr w:type="spellStart"/>
      <w:r>
        <w:rPr>
          <w:sz w:val="20"/>
          <w:szCs w:val="20"/>
        </w:rPr>
        <w:t>Чечурова</w:t>
      </w:r>
      <w:proofErr w:type="spellEnd"/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4564ED">
        <w:rPr>
          <w:sz w:val="20"/>
          <w:szCs w:val="20"/>
        </w:rPr>
        <w:t>65</w:t>
      </w:r>
      <w:r w:rsidRPr="006A14D6">
        <w:rPr>
          <w:sz w:val="20"/>
          <w:szCs w:val="20"/>
        </w:rPr>
        <w:t>-ЗК от «</w:t>
      </w:r>
      <w:r w:rsidR="004564ED">
        <w:rPr>
          <w:sz w:val="20"/>
          <w:szCs w:val="20"/>
        </w:rPr>
        <w:t>04</w:t>
      </w:r>
      <w:r w:rsidRPr="006A14D6">
        <w:rPr>
          <w:sz w:val="20"/>
          <w:szCs w:val="20"/>
        </w:rPr>
        <w:t xml:space="preserve">» </w:t>
      </w:r>
      <w:r w:rsidR="004564ED">
        <w:rPr>
          <w:sz w:val="20"/>
          <w:szCs w:val="20"/>
        </w:rPr>
        <w:t>сентября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продовольственных товаров для нужд столовой </w:t>
      </w:r>
      <w:r w:rsidR="004564ED">
        <w:rPr>
          <w:sz w:val="20"/>
          <w:szCs w:val="20"/>
        </w:rPr>
        <w:t>БЦБК</w:t>
      </w:r>
      <w:r w:rsidR="000E7FEE">
        <w:rPr>
          <w:sz w:val="20"/>
          <w:szCs w:val="20"/>
        </w:rPr>
        <w:t xml:space="preserve">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4564ED">
        <w:rPr>
          <w:b/>
          <w:color w:val="FF0000"/>
          <w:sz w:val="20"/>
          <w:szCs w:val="20"/>
        </w:rPr>
        <w:t>65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4564ED">
        <w:rPr>
          <w:b/>
          <w:color w:val="FF0000"/>
          <w:sz w:val="20"/>
          <w:szCs w:val="20"/>
        </w:rPr>
        <w:t>04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4564ED">
        <w:rPr>
          <w:b/>
          <w:color w:val="FF0000"/>
          <w:sz w:val="20"/>
          <w:szCs w:val="20"/>
        </w:rPr>
        <w:t>9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4564ED">
        <w:rPr>
          <w:sz w:val="20"/>
          <w:szCs w:val="20"/>
        </w:rPr>
        <w:t>65</w:t>
      </w:r>
      <w:r w:rsidRPr="006A14D6">
        <w:rPr>
          <w:sz w:val="20"/>
          <w:szCs w:val="20"/>
        </w:rPr>
        <w:t>-ЗК от «</w:t>
      </w:r>
      <w:r w:rsidR="004564ED">
        <w:rPr>
          <w:sz w:val="20"/>
          <w:szCs w:val="20"/>
        </w:rPr>
        <w:t>04</w:t>
      </w:r>
      <w:r w:rsidRPr="006A14D6">
        <w:rPr>
          <w:sz w:val="20"/>
          <w:szCs w:val="20"/>
        </w:rPr>
        <w:t xml:space="preserve">» </w:t>
      </w:r>
      <w:r w:rsidR="004564ED">
        <w:rPr>
          <w:sz w:val="20"/>
          <w:szCs w:val="20"/>
        </w:rPr>
        <w:t>сентября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BAD" w:rsidRDefault="00F46BAD">
      <w:r>
        <w:separator/>
      </w:r>
    </w:p>
  </w:endnote>
  <w:endnote w:type="continuationSeparator" w:id="0">
    <w:p w:rsidR="00F46BAD" w:rsidRDefault="00F4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57" w:rsidRDefault="00052157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64ED">
      <w:rPr>
        <w:rStyle w:val="a9"/>
        <w:noProof/>
      </w:rPr>
      <w:t>1</w:t>
    </w:r>
    <w:r>
      <w:rPr>
        <w:rStyle w:val="a9"/>
      </w:rPr>
      <w:fldChar w:fldCharType="end"/>
    </w:r>
  </w:p>
  <w:p w:rsidR="00052157" w:rsidRDefault="00052157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BAD" w:rsidRDefault="00F46BAD">
      <w:r>
        <w:separator/>
      </w:r>
    </w:p>
  </w:footnote>
  <w:footnote w:type="continuationSeparator" w:id="0">
    <w:p w:rsidR="00F46BAD" w:rsidRDefault="00F46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2157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4EB4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64ED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E66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391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CF75E4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46BAD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EB81-8AED-4F21-BFAD-E32E7DA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4343</TotalTime>
  <Pages>10</Pages>
  <Words>6384</Words>
  <Characters>36393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42692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251</cp:revision>
  <cp:lastPrinted>2011-12-07T05:49:00Z</cp:lastPrinted>
  <dcterms:created xsi:type="dcterms:W3CDTF">2014-05-27T01:29:00Z</dcterms:created>
  <dcterms:modified xsi:type="dcterms:W3CDTF">2020-09-04T06:49:00Z</dcterms:modified>
</cp:coreProperties>
</file>