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75EC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F275EC" w:rsidRPr="00213E52" w:rsidRDefault="00F275EC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Редакция 2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Вторых Наталья Юрьевна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325-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D316B2">
        <w:rPr>
          <w:rFonts w:ascii="Times New Roman" w:hAnsi="Times New Roman" w:cs="Times New Roman"/>
          <w:bCs/>
          <w:sz w:val="20"/>
          <w:szCs w:val="20"/>
        </w:rPr>
        <w:t>бесконтактных карт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D316B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26.12.30.000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D316B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26.12</w:t>
      </w:r>
    </w:p>
    <w:p w:rsidR="00D316B2" w:rsidRPr="00213E52" w:rsidRDefault="00D316B2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D316B2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D316B2">
        <w:rPr>
          <w:rFonts w:ascii="Times New Roman" w:hAnsi="Times New Roman" w:cs="Times New Roman"/>
          <w:b/>
          <w:bCs/>
          <w:sz w:val="20"/>
          <w:szCs w:val="20"/>
        </w:rPr>
        <w:t xml:space="preserve">августа 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2314"/>
        <w:gridCol w:w="5675"/>
        <w:gridCol w:w="805"/>
        <w:gridCol w:w="1134"/>
      </w:tblGrid>
      <w:tr w:rsidR="00D316B2" w:rsidRPr="002D3827" w:rsidTr="00C54945">
        <w:trPr>
          <w:trHeight w:val="506"/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16B2" w:rsidRPr="002D3827" w:rsidTr="00C54945">
        <w:trPr>
          <w:trHeight w:val="210"/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16B2" w:rsidRPr="002D3827" w:rsidTr="00C54945">
        <w:trPr>
          <w:trHeight w:val="661"/>
          <w:jc w:val="center"/>
        </w:trPr>
        <w:tc>
          <w:tcPr>
            <w:tcW w:w="756" w:type="dxa"/>
            <w:vAlign w:val="center"/>
          </w:tcPr>
          <w:p w:rsidR="00D316B2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vAlign w:val="center"/>
          </w:tcPr>
          <w:p w:rsidR="00D316B2" w:rsidRDefault="00D316B2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</w:t>
            </w:r>
          </w:p>
          <w:p w:rsidR="00D316B2" w:rsidRDefault="00D316B2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(карта доступа)</w:t>
            </w:r>
          </w:p>
          <w:p w:rsidR="00F275EC" w:rsidRDefault="00F275EC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 Marine</w:t>
            </w:r>
          </w:p>
          <w:p w:rsidR="00F275EC" w:rsidRPr="00F275EC" w:rsidRDefault="00F275EC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5EC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5675" w:type="dxa"/>
          </w:tcPr>
          <w:p w:rsidR="00D316B2" w:rsidRPr="0063250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Тип изделия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 доступа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частота не менее 125 КГц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Память не менее </w:t>
            </w:r>
            <w:r w:rsidRPr="00F275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275EC" w:rsidRPr="00F275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бит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Функции: только чтение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дистанции работы с приемником, не уже диапазона: от 0 до 100 мм</w:t>
            </w:r>
          </w:p>
          <w:p w:rsidR="00D316B2" w:rsidRDefault="00D316B2" w:rsidP="00D3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ПВХ</w:t>
            </w:r>
          </w:p>
          <w:p w:rsidR="00D316B2" w:rsidRDefault="00D316B2" w:rsidP="00D3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Рабочая температура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>, не уже диапазона: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  <w:proofErr w:type="gram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…+70°С</w:t>
            </w:r>
          </w:p>
          <w:p w:rsidR="00D316B2" w:rsidRPr="00632502" w:rsidRDefault="00D316B2" w:rsidP="00C54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: 86 </w:t>
            </w:r>
            <w:proofErr w:type="spell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  <w:proofErr w:type="spell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0,8 мм</w:t>
            </w:r>
            <w:r w:rsidR="00F27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75EC" w:rsidRPr="00F275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прорези с одной стороны</w:t>
            </w:r>
          </w:p>
        </w:tc>
        <w:tc>
          <w:tcPr>
            <w:tcW w:w="805" w:type="dxa"/>
            <w:vAlign w:val="center"/>
          </w:tcPr>
          <w:p w:rsidR="00D316B2" w:rsidRPr="009A04C1" w:rsidRDefault="00D316B2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134" w:type="dxa"/>
            <w:vAlign w:val="center"/>
          </w:tcPr>
          <w:p w:rsidR="00D316B2" w:rsidRPr="009A04C1" w:rsidRDefault="00D316B2" w:rsidP="0025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502" w:rsidRPr="00632502" w:rsidRDefault="00E01FB3" w:rsidP="006325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>6.2</w:t>
      </w:r>
      <w:r w:rsidRPr="0063250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2502" w:rsidRPr="00632502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указанным п. 6.1. настоящего Извещения; 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поставляемый товар, должны быть новыми, ранее не использованными (не подвергавшимися ремонту и восст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>новлению), иметь сертификат (декларация) соответствия, санитарно-эпидемиологические заключения;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Поставщиком вместе с товаром;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632502">
        <w:rPr>
          <w:rFonts w:ascii="Times New Roman" w:hAnsi="Times New Roman" w:cs="Times New Roman"/>
          <w:sz w:val="20"/>
          <w:szCs w:val="20"/>
        </w:rPr>
        <w:t>и</w:t>
      </w:r>
      <w:r w:rsidRPr="00632502">
        <w:rPr>
          <w:rFonts w:ascii="Times New Roman" w:hAnsi="Times New Roman" w:cs="Times New Roman"/>
          <w:sz w:val="20"/>
          <w:szCs w:val="20"/>
        </w:rPr>
        <w:t>емки товара;</w:t>
      </w:r>
    </w:p>
    <w:p w:rsidR="00E01FB3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2502">
        <w:rPr>
          <w:rFonts w:ascii="Times New Roman" w:hAnsi="Times New Roman" w:cs="Times New Roman"/>
          <w:sz w:val="20"/>
          <w:szCs w:val="20"/>
        </w:rPr>
        <w:lastRenderedPageBreak/>
        <w:t>в случае выявления дефектов товара в процессе его эксплуатации в период гарантийного срока, Поставщик об</w:t>
      </w:r>
      <w:r w:rsidRPr="00632502">
        <w:rPr>
          <w:rFonts w:ascii="Times New Roman" w:hAnsi="Times New Roman" w:cs="Times New Roman"/>
          <w:sz w:val="20"/>
          <w:szCs w:val="20"/>
        </w:rPr>
        <w:t>я</w:t>
      </w:r>
      <w:r w:rsidRPr="00632502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632502">
        <w:rPr>
          <w:rFonts w:ascii="Times New Roman" w:hAnsi="Times New Roman" w:cs="Times New Roman"/>
          <w:sz w:val="20"/>
          <w:szCs w:val="20"/>
        </w:rPr>
        <w:t>е</w:t>
      </w:r>
      <w:r w:rsidRPr="00632502">
        <w:rPr>
          <w:rFonts w:ascii="Times New Roman" w:hAnsi="Times New Roman" w:cs="Times New Roman"/>
          <w:sz w:val="20"/>
          <w:szCs w:val="20"/>
        </w:rPr>
        <w:t>тензии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32502" w:rsidRPr="00632502" w:rsidRDefault="00632502" w:rsidP="0063250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="00632502" w:rsidRPr="00632502">
        <w:rPr>
          <w:rFonts w:ascii="Times New Roman" w:hAnsi="Times New Roman" w:cs="Times New Roman"/>
          <w:sz w:val="20"/>
          <w:szCs w:val="20"/>
        </w:rPr>
        <w:t>и</w:t>
      </w:r>
      <w:r w:rsidR="00632502" w:rsidRPr="00632502">
        <w:rPr>
          <w:rFonts w:ascii="Times New Roman" w:hAnsi="Times New Roman" w:cs="Times New Roman"/>
          <w:sz w:val="20"/>
          <w:szCs w:val="20"/>
        </w:rPr>
        <w:t>емки товара на складе Заказчика, должен быть заменен Поставщиком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 весь объем закупаемого товара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54945">
        <w:rPr>
          <w:rFonts w:ascii="Times New Roman" w:hAnsi="Times New Roman"/>
          <w:b/>
          <w:color w:val="FF0000"/>
          <w:sz w:val="20"/>
        </w:rPr>
        <w:t>92 000,00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632502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C54945">
        <w:rPr>
          <w:rFonts w:ascii="Times New Roman" w:hAnsi="Times New Roman"/>
          <w:sz w:val="20"/>
        </w:rPr>
        <w:t xml:space="preserve">девяносто две </w:t>
      </w:r>
      <w:r w:rsidR="00866994">
        <w:rPr>
          <w:rFonts w:ascii="Times New Roman" w:hAnsi="Times New Roman"/>
          <w:sz w:val="20"/>
        </w:rPr>
        <w:t>тысяч</w:t>
      </w:r>
      <w:r w:rsidR="00632502">
        <w:rPr>
          <w:rFonts w:ascii="Times New Roman" w:hAnsi="Times New Roman"/>
          <w:sz w:val="20"/>
        </w:rPr>
        <w:t>и</w:t>
      </w:r>
      <w:r w:rsidR="00866994">
        <w:rPr>
          <w:rFonts w:ascii="Times New Roman" w:hAnsi="Times New Roman"/>
          <w:sz w:val="20"/>
        </w:rPr>
        <w:t xml:space="preserve"> рублей </w:t>
      </w:r>
      <w:r w:rsidR="00632502">
        <w:rPr>
          <w:rFonts w:ascii="Times New Roman" w:hAnsi="Times New Roman"/>
          <w:sz w:val="20"/>
        </w:rPr>
        <w:t>0</w:t>
      </w:r>
      <w:r w:rsidR="00866994">
        <w:rPr>
          <w:rFonts w:ascii="Times New Roman" w:hAnsi="Times New Roman"/>
          <w:sz w:val="20"/>
        </w:rPr>
        <w:t>0 копеек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C54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2000</w:t>
            </w:r>
            <w:r w:rsidR="00632502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63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C54945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92 000,00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C54945" w:rsidRPr="00301B5C" w:rsidRDefault="00C54945" w:rsidP="00C54945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тернет </w:t>
      </w:r>
      <w:r>
        <w:rPr>
          <w:sz w:val="20"/>
          <w:szCs w:val="20"/>
        </w:rPr>
        <w:t xml:space="preserve">–  </w:t>
      </w:r>
      <w:r w:rsidRPr="00C54945">
        <w:rPr>
          <w:b/>
          <w:sz w:val="20"/>
          <w:szCs w:val="20"/>
          <w:highlight w:val="lightGray"/>
        </w:rPr>
        <w:t>ЭТП «РТС-тендер»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 Адрес ЭТП в сети Интернет: </w:t>
      </w:r>
      <w:hyperlink r:id="rId8" w:history="1">
        <w:r w:rsidRPr="006A14D6">
          <w:rPr>
            <w:rStyle w:val="aa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  <w:bookmarkStart w:id="1" w:name="_GoBack"/>
      <w:bookmarkEnd w:id="1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632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307214" w:rsidRDefault="00C54945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C54945" w:rsidRPr="00CF164F" w:rsidRDefault="00C54945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штаба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ГОиЧС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Н.Ю. Вторых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C54945">
        <w:rPr>
          <w:rFonts w:ascii="Times New Roman" w:hAnsi="Times New Roman" w:cs="Times New Roman"/>
          <w:sz w:val="20"/>
          <w:szCs w:val="20"/>
        </w:rPr>
        <w:t>бесконтактные карты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C54945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03B" w:rsidRPr="00945C83" w:rsidRDefault="0053703B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53703B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2E" w:rsidRDefault="006B102E" w:rsidP="003D59F3">
      <w:pPr>
        <w:spacing w:after="0" w:line="240" w:lineRule="auto"/>
      </w:pPr>
      <w:r>
        <w:separator/>
      </w:r>
    </w:p>
  </w:endnote>
  <w:endnote w:type="continuationSeparator" w:id="0">
    <w:p w:rsidR="006B102E" w:rsidRDefault="006B102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D316B2" w:rsidRDefault="003F59C5">
        <w:pPr>
          <w:pStyle w:val="a3"/>
          <w:jc w:val="right"/>
        </w:pPr>
        <w:fldSimple w:instr=" PAGE   \* MERGEFORMAT ">
          <w:r w:rsidR="00F275EC">
            <w:rPr>
              <w:noProof/>
            </w:rPr>
            <w:t>1</w:t>
          </w:r>
        </w:fldSimple>
      </w:p>
    </w:sdtContent>
  </w:sdt>
  <w:p w:rsidR="00D316B2" w:rsidRDefault="00D316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2E" w:rsidRDefault="006B102E" w:rsidP="003D59F3">
      <w:pPr>
        <w:spacing w:after="0" w:line="240" w:lineRule="auto"/>
      </w:pPr>
      <w:r>
        <w:separator/>
      </w:r>
    </w:p>
  </w:footnote>
  <w:footnote w:type="continuationSeparator" w:id="0">
    <w:p w:rsidR="006B102E" w:rsidRDefault="006B102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86E695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189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9C5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A53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9B3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3B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502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02E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319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945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6B2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1B2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4C6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275EC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61</cp:revision>
  <cp:lastPrinted>2019-04-03T03:40:00Z</cp:lastPrinted>
  <dcterms:created xsi:type="dcterms:W3CDTF">2014-10-02T06:08:00Z</dcterms:created>
  <dcterms:modified xsi:type="dcterms:W3CDTF">2020-07-14T03:54:00Z</dcterms:modified>
</cp:coreProperties>
</file>