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</w:t>
      </w:r>
      <w:r w:rsidRPr="00722FCB">
        <w:rPr>
          <w:rFonts w:ascii="Times New Roman" w:hAnsi="Times New Roman" w:cs="Times New Roman"/>
          <w:sz w:val="20"/>
          <w:szCs w:val="20"/>
        </w:rPr>
        <w:t>а</w:t>
      </w:r>
      <w:r w:rsidRPr="00722FCB">
        <w:rPr>
          <w:rFonts w:ascii="Times New Roman" w:hAnsi="Times New Roman" w:cs="Times New Roman"/>
          <w:sz w:val="20"/>
          <w:szCs w:val="20"/>
        </w:rPr>
        <w:t>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</w:t>
      </w:r>
      <w:r w:rsidRPr="00722FCB">
        <w:rPr>
          <w:rFonts w:ascii="Times New Roman" w:hAnsi="Times New Roman" w:cs="Times New Roman"/>
          <w:sz w:val="20"/>
          <w:szCs w:val="20"/>
        </w:rPr>
        <w:t>р</w:t>
      </w:r>
      <w:r w:rsidRPr="00722FCB">
        <w:rPr>
          <w:rFonts w:ascii="Times New Roman" w:hAnsi="Times New Roman" w:cs="Times New Roman"/>
          <w:sz w:val="20"/>
          <w:szCs w:val="20"/>
        </w:rPr>
        <w:t>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325441,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Федяева Валентина Николаевна,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>. тел.: +7 (3953) 325-476.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 компьютерного оборудования для нужд КУИЦ "Энергетика" БрГУ.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</w:t>
      </w:r>
      <w:r w:rsidRPr="00722FCB">
        <w:rPr>
          <w:rFonts w:ascii="Times New Roman" w:hAnsi="Times New Roman" w:cs="Times New Roman"/>
          <w:sz w:val="20"/>
        </w:rPr>
        <w:t>т</w:t>
      </w:r>
      <w:r w:rsidRPr="00722FCB">
        <w:rPr>
          <w:rFonts w:ascii="Times New Roman" w:hAnsi="Times New Roman" w:cs="Times New Roman"/>
          <w:sz w:val="20"/>
        </w:rPr>
        <w:t>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>
        <w:rPr>
          <w:rFonts w:ascii="Times New Roman" w:hAnsi="Times New Roman" w:cs="Times New Roman"/>
          <w:b/>
          <w:sz w:val="20"/>
        </w:rPr>
        <w:t>10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>
        <w:rPr>
          <w:rFonts w:ascii="Times New Roman" w:hAnsi="Times New Roman" w:cs="Times New Roman"/>
          <w:b/>
          <w:sz w:val="20"/>
        </w:rPr>
        <w:t>июля</w:t>
      </w:r>
      <w:r w:rsidRPr="00722FCB">
        <w:rPr>
          <w:rFonts w:ascii="Times New Roman" w:hAnsi="Times New Roman" w:cs="Times New Roman"/>
          <w:b/>
          <w:sz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1134"/>
        <w:gridCol w:w="1801"/>
        <w:gridCol w:w="3586"/>
        <w:gridCol w:w="1134"/>
        <w:gridCol w:w="841"/>
      </w:tblGrid>
      <w:tr w:rsidR="00A5660D" w:rsidRPr="00A5660D" w:rsidTr="00A5660D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A5660D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2FCB" w:rsidRPr="00A5660D" w:rsidTr="00B46B9F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26.20.11.110</w:t>
            </w:r>
          </w:p>
        </w:tc>
        <w:tc>
          <w:tcPr>
            <w:tcW w:w="1134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01" w:type="dxa"/>
          </w:tcPr>
          <w:p w:rsidR="00722FCB" w:rsidRPr="00722FCB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Ноутбук</w:t>
            </w:r>
          </w:p>
          <w:p w:rsidR="00722FCB" w:rsidRPr="00722FCB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Модель</w:t>
            </w:r>
          </w:p>
          <w:p w:rsidR="00722FCB" w:rsidRPr="00722FCB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 xml:space="preserve">ASUS </w:t>
            </w:r>
            <w:proofErr w:type="spellStart"/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VivoBook</w:t>
            </w:r>
            <w:proofErr w:type="spellEnd"/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 xml:space="preserve"> N705UN-GC173T</w:t>
            </w:r>
          </w:p>
          <w:p w:rsidR="00722FCB" w:rsidRPr="00DC65DE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 xml:space="preserve">или </w:t>
            </w: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эквивалент</w:t>
            </w:r>
          </w:p>
        </w:tc>
        <w:tc>
          <w:tcPr>
            <w:tcW w:w="3586" w:type="dxa"/>
          </w:tcPr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1. Монитор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иагональ не меньше 17 дюймов.</w:t>
            </w:r>
          </w:p>
          <w:p w:rsidR="00722FCB" w:rsidRPr="00882EA3" w:rsidRDefault="00882EA3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2. Процессор: н</w:t>
            </w:r>
            <w:r w:rsidR="00722FCB" w:rsidRPr="00882EA3">
              <w:rPr>
                <w:sz w:val="20"/>
                <w:szCs w:val="22"/>
              </w:rPr>
              <w:t xml:space="preserve">е ниже </w:t>
            </w:r>
            <w:proofErr w:type="spellStart"/>
            <w:r w:rsidR="00722FCB" w:rsidRPr="00882EA3">
              <w:rPr>
                <w:sz w:val="20"/>
                <w:szCs w:val="22"/>
              </w:rPr>
              <w:t>Intel</w:t>
            </w:r>
            <w:proofErr w:type="spellEnd"/>
            <w:r w:rsidR="00722FCB" w:rsidRPr="00882EA3">
              <w:rPr>
                <w:sz w:val="20"/>
                <w:szCs w:val="22"/>
              </w:rPr>
              <w:t xml:space="preserve"> </w:t>
            </w:r>
            <w:r w:rsidR="00722FCB" w:rsidRPr="00882EA3">
              <w:rPr>
                <w:sz w:val="20"/>
                <w:szCs w:val="22"/>
                <w:lang w:val="en-US"/>
              </w:rPr>
              <w:t>Core</w:t>
            </w:r>
            <w:r w:rsidR="00722FCB" w:rsidRPr="00882EA3">
              <w:rPr>
                <w:sz w:val="20"/>
                <w:szCs w:val="22"/>
              </w:rPr>
              <w:t xml:space="preserve"> </w:t>
            </w:r>
            <w:proofErr w:type="spellStart"/>
            <w:r w:rsidR="00722FCB" w:rsidRPr="00882EA3">
              <w:rPr>
                <w:sz w:val="20"/>
                <w:szCs w:val="22"/>
                <w:lang w:val="en-US"/>
              </w:rPr>
              <w:t>i</w:t>
            </w:r>
            <w:proofErr w:type="spellEnd"/>
            <w:r w:rsidR="00722FCB" w:rsidRPr="00882EA3">
              <w:rPr>
                <w:sz w:val="20"/>
                <w:szCs w:val="22"/>
              </w:rPr>
              <w:t>5-8500 или эквив</w:t>
            </w:r>
            <w:r w:rsidR="00722FCB" w:rsidRPr="00882EA3">
              <w:rPr>
                <w:sz w:val="20"/>
                <w:szCs w:val="22"/>
              </w:rPr>
              <w:t>а</w:t>
            </w:r>
            <w:r w:rsidR="00722FCB" w:rsidRPr="00882EA3">
              <w:rPr>
                <w:sz w:val="20"/>
                <w:szCs w:val="22"/>
              </w:rPr>
              <w:t>лент. Не менее двух ядер. Тактовая частота центрального процессора не менее 2,1 ГГц. Технол</w:t>
            </w:r>
            <w:r w:rsidR="00722FCB" w:rsidRPr="00882EA3">
              <w:rPr>
                <w:sz w:val="20"/>
                <w:szCs w:val="22"/>
              </w:rPr>
              <w:t>о</w:t>
            </w:r>
            <w:r w:rsidR="00722FCB" w:rsidRPr="00882EA3">
              <w:rPr>
                <w:sz w:val="20"/>
                <w:szCs w:val="22"/>
              </w:rPr>
              <w:t>гический пр</w:t>
            </w:r>
            <w:r w:rsidR="00722FCB" w:rsidRPr="00882EA3">
              <w:rPr>
                <w:sz w:val="20"/>
                <w:szCs w:val="22"/>
              </w:rPr>
              <w:t>о</w:t>
            </w:r>
            <w:r w:rsidR="00722FCB" w:rsidRPr="00882EA3">
              <w:rPr>
                <w:sz w:val="20"/>
                <w:szCs w:val="22"/>
              </w:rPr>
              <w:t>цесс не менее 14 нм.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3. Память</w:t>
            </w:r>
            <w:r w:rsidR="00882EA3" w:rsidRPr="00882EA3">
              <w:rPr>
                <w:sz w:val="20"/>
                <w:szCs w:val="22"/>
              </w:rPr>
              <w:t xml:space="preserve">: </w:t>
            </w:r>
            <w:r w:rsidRPr="00882EA3">
              <w:rPr>
                <w:sz w:val="20"/>
                <w:szCs w:val="22"/>
              </w:rPr>
              <w:t>ОЗУ не менее 4 Гб. ПЗУ SSD не менее 128 Гб.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4. Видеокарта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искретный видеоада</w:t>
            </w:r>
            <w:r w:rsidRPr="00882EA3">
              <w:rPr>
                <w:sz w:val="20"/>
                <w:szCs w:val="22"/>
              </w:rPr>
              <w:t>п</w:t>
            </w:r>
            <w:r w:rsidRPr="00882EA3">
              <w:rPr>
                <w:sz w:val="20"/>
                <w:szCs w:val="22"/>
              </w:rPr>
              <w:t>тер с внутре</w:t>
            </w:r>
            <w:r w:rsidRPr="00882EA3">
              <w:rPr>
                <w:sz w:val="20"/>
                <w:szCs w:val="22"/>
              </w:rPr>
              <w:t>н</w:t>
            </w:r>
            <w:r w:rsidRPr="00882EA3">
              <w:rPr>
                <w:sz w:val="20"/>
                <w:szCs w:val="22"/>
              </w:rPr>
              <w:t>ней памятью не менее 1 Гб.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5. Разъемы ввода/вывода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олжно быть не менее 3 портов USB, из них ста</w:t>
            </w:r>
            <w:r w:rsidRPr="00882EA3">
              <w:rPr>
                <w:sz w:val="20"/>
                <w:szCs w:val="22"/>
              </w:rPr>
              <w:t>н</w:t>
            </w:r>
            <w:r w:rsidRPr="00882EA3">
              <w:rPr>
                <w:sz w:val="20"/>
                <w:szCs w:val="22"/>
              </w:rPr>
              <w:t>дарта не ниже 3.1 не менее двух.</w:t>
            </w:r>
            <w:r w:rsidR="00882EA3"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</w:rPr>
              <w:t>Об</w:t>
            </w:r>
            <w:r w:rsidRPr="00882EA3">
              <w:rPr>
                <w:sz w:val="20"/>
                <w:szCs w:val="22"/>
              </w:rPr>
              <w:t>я</w:t>
            </w:r>
            <w:r w:rsidRPr="00882EA3">
              <w:rPr>
                <w:sz w:val="20"/>
                <w:szCs w:val="22"/>
              </w:rPr>
              <w:t xml:space="preserve">зательно наличие </w:t>
            </w:r>
            <w:proofErr w:type="spellStart"/>
            <w:r w:rsidRPr="00882EA3">
              <w:rPr>
                <w:sz w:val="20"/>
                <w:szCs w:val="22"/>
              </w:rPr>
              <w:t>видеоразъема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  <w:lang w:val="en-US"/>
              </w:rPr>
              <w:t>HDMI</w:t>
            </w:r>
            <w:r w:rsidRPr="00882EA3">
              <w:rPr>
                <w:sz w:val="20"/>
                <w:szCs w:val="22"/>
              </w:rPr>
              <w:t xml:space="preserve"> не менее 1.</w:t>
            </w:r>
            <w:r w:rsidR="00882EA3"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</w:rPr>
              <w:t>Разъем для наушн</w:t>
            </w:r>
            <w:r w:rsidRPr="00882EA3">
              <w:rPr>
                <w:sz w:val="20"/>
                <w:szCs w:val="22"/>
              </w:rPr>
              <w:t>и</w:t>
            </w:r>
            <w:r w:rsidRPr="00882EA3">
              <w:rPr>
                <w:sz w:val="20"/>
                <w:szCs w:val="22"/>
              </w:rPr>
              <w:t>ков/микрофона 3,5 мм.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6. Обязательно наличие встроенн</w:t>
            </w:r>
            <w:r w:rsidRPr="00882EA3">
              <w:rPr>
                <w:sz w:val="20"/>
                <w:szCs w:val="22"/>
              </w:rPr>
              <w:t>о</w:t>
            </w:r>
            <w:r w:rsidRPr="00882EA3">
              <w:rPr>
                <w:sz w:val="20"/>
                <w:szCs w:val="22"/>
              </w:rPr>
              <w:t xml:space="preserve">го </w:t>
            </w:r>
            <w:r w:rsidRPr="00882EA3">
              <w:rPr>
                <w:sz w:val="20"/>
                <w:szCs w:val="22"/>
              </w:rPr>
              <w:lastRenderedPageBreak/>
              <w:t xml:space="preserve">сетевого адаптера. 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7. В комплект поставки ноутбука до</w:t>
            </w:r>
            <w:r w:rsidRPr="00882EA3">
              <w:rPr>
                <w:sz w:val="20"/>
                <w:szCs w:val="22"/>
              </w:rPr>
              <w:t>л</w:t>
            </w:r>
            <w:r w:rsidRPr="00882EA3">
              <w:rPr>
                <w:sz w:val="20"/>
                <w:szCs w:val="22"/>
              </w:rPr>
              <w:t>жен входить кабель питания.</w:t>
            </w:r>
          </w:p>
          <w:p w:rsidR="00882EA3" w:rsidRPr="00882EA3" w:rsidRDefault="00882EA3" w:rsidP="00882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новленным</w:t>
            </w:r>
          </w:p>
          <w:p w:rsid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год выпуска –  не ранее 2019 г.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2FCB" w:rsidRPr="00A5660D" w:rsidTr="00B46B9F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722FCB" w:rsidRPr="00A5660D" w:rsidRDefault="00882EA3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15.12.12.191</w:t>
            </w:r>
          </w:p>
        </w:tc>
        <w:tc>
          <w:tcPr>
            <w:tcW w:w="1134" w:type="dxa"/>
          </w:tcPr>
          <w:p w:rsidR="00722FCB" w:rsidRPr="00A5660D" w:rsidRDefault="00882EA3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01" w:type="dxa"/>
          </w:tcPr>
          <w:p w:rsidR="00882EA3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Сумка </w:t>
            </w:r>
            <w:r w:rsidR="00882EA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кейс</w:t>
            </w:r>
            <w:r w:rsidR="00882EA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722FCB" w:rsidRPr="00882EA3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для ноутбука</w:t>
            </w:r>
          </w:p>
          <w:p w:rsidR="00882EA3" w:rsidRPr="00882EA3" w:rsidRDefault="00722FCB" w:rsidP="00882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переносная </w:t>
            </w:r>
          </w:p>
          <w:p w:rsidR="00882EA3" w:rsidRPr="00882EA3" w:rsidRDefault="00882EA3" w:rsidP="00882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одель RIVACASE 8455.</w:t>
            </w:r>
          </w:p>
          <w:p w:rsidR="00722FCB" w:rsidRPr="00882EA3" w:rsidRDefault="00882EA3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или эквивалент</w:t>
            </w:r>
          </w:p>
        </w:tc>
        <w:tc>
          <w:tcPr>
            <w:tcW w:w="3586" w:type="dxa"/>
          </w:tcPr>
          <w:p w:rsidR="00722FCB" w:rsidRPr="00882EA3" w:rsidRDefault="00722FCB" w:rsidP="00882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82EA3">
                <w:rPr>
                  <w:rFonts w:ascii="Times New Roman" w:hAnsi="Times New Roman" w:cs="Times New Roman"/>
                  <w:sz w:val="20"/>
                  <w:szCs w:val="20"/>
                </w:rPr>
                <w:t>Размер</w:t>
              </w:r>
            </w:hyperlink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17,3 дюйма (по ра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меру приобретаемого ноутбука). </w:t>
            </w:r>
          </w:p>
          <w:p w:rsidR="00882EA3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Материал нейлон / полиэстер. </w:t>
            </w:r>
          </w:p>
          <w:p w:rsidR="00882EA3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Н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личие плечевого ремня. </w:t>
            </w:r>
          </w:p>
          <w:p w:rsidR="00722FCB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Наличие внешних и внутренних ка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р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манов. Цвет серый / </w:t>
            </w:r>
            <w:proofErr w:type="gramStart"/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черный</w:t>
            </w:r>
            <w:proofErr w:type="gramEnd"/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/ синий.</w:t>
            </w:r>
          </w:p>
        </w:tc>
        <w:tc>
          <w:tcPr>
            <w:tcW w:w="1134" w:type="dxa"/>
          </w:tcPr>
          <w:p w:rsidR="00722FCB" w:rsidRPr="00A5660D" w:rsidRDefault="00722FCB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2FCB" w:rsidRPr="00A5660D" w:rsidTr="003209DC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22FCB" w:rsidRPr="00A5660D" w:rsidRDefault="00882EA3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26.20.16.170</w:t>
            </w:r>
          </w:p>
        </w:tc>
        <w:tc>
          <w:tcPr>
            <w:tcW w:w="1134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1801" w:type="dxa"/>
          </w:tcPr>
          <w:p w:rsidR="00882EA3" w:rsidRDefault="00722FCB" w:rsidP="00882EA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Манипулятор </w:t>
            </w:r>
          </w:p>
          <w:p w:rsidR="00882EA3" w:rsidRDefault="00722FCB" w:rsidP="00882EA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т</w:t>
            </w:r>
            <w:r w:rsidRPr="00882EA3">
              <w:rPr>
                <w:sz w:val="20"/>
                <w:szCs w:val="22"/>
              </w:rPr>
              <w:t>и</w:t>
            </w:r>
            <w:r w:rsidRPr="00882EA3">
              <w:rPr>
                <w:sz w:val="20"/>
                <w:szCs w:val="22"/>
              </w:rPr>
              <w:t>па «мышь»</w:t>
            </w:r>
          </w:p>
          <w:p w:rsidR="00882EA3" w:rsidRDefault="00882EA3" w:rsidP="00882EA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М</w:t>
            </w:r>
            <w:r w:rsidRPr="00882EA3">
              <w:rPr>
                <w:sz w:val="20"/>
                <w:szCs w:val="22"/>
              </w:rPr>
              <w:t>о</w:t>
            </w:r>
            <w:r w:rsidRPr="00882EA3">
              <w:rPr>
                <w:sz w:val="20"/>
                <w:szCs w:val="22"/>
              </w:rPr>
              <w:t xml:space="preserve">дель </w:t>
            </w:r>
            <w:proofErr w:type="spellStart"/>
            <w:r w:rsidRPr="00882EA3">
              <w:rPr>
                <w:sz w:val="20"/>
                <w:szCs w:val="22"/>
              </w:rPr>
              <w:t>Genius</w:t>
            </w:r>
            <w:proofErr w:type="spellEnd"/>
            <w:r w:rsidRPr="00882EA3">
              <w:rPr>
                <w:sz w:val="20"/>
                <w:szCs w:val="22"/>
              </w:rPr>
              <w:t xml:space="preserve"> NX-7015 </w:t>
            </w:r>
            <w:proofErr w:type="spellStart"/>
            <w:r w:rsidRPr="00882EA3">
              <w:rPr>
                <w:sz w:val="20"/>
                <w:szCs w:val="22"/>
              </w:rPr>
              <w:t>Iron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proofErr w:type="spellStart"/>
            <w:r w:rsidRPr="00882EA3">
              <w:rPr>
                <w:sz w:val="20"/>
                <w:szCs w:val="22"/>
              </w:rPr>
              <w:t>Grey</w:t>
            </w:r>
            <w:proofErr w:type="spellEnd"/>
          </w:p>
          <w:p w:rsidR="00722FCB" w:rsidRPr="00882EA3" w:rsidRDefault="00882EA3" w:rsidP="00882EA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или эквив</w:t>
            </w:r>
            <w:r w:rsidRPr="00882EA3">
              <w:rPr>
                <w:sz w:val="20"/>
                <w:szCs w:val="22"/>
              </w:rPr>
              <w:t>а</w:t>
            </w:r>
            <w:r w:rsidRPr="00882EA3">
              <w:rPr>
                <w:sz w:val="20"/>
                <w:szCs w:val="22"/>
              </w:rPr>
              <w:t>лент</w:t>
            </w:r>
          </w:p>
        </w:tc>
        <w:tc>
          <w:tcPr>
            <w:tcW w:w="3586" w:type="dxa"/>
          </w:tcPr>
          <w:p w:rsidR="00722FCB" w:rsidRPr="00882EA3" w:rsidRDefault="00722FCB" w:rsidP="00882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Оптическая, беспроводная, с колич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ством кнопок не менее 3, с кол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сом прокрутки и разрешением се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сора не менее 1000 dpi.</w:t>
            </w:r>
          </w:p>
        </w:tc>
        <w:tc>
          <w:tcPr>
            <w:tcW w:w="1134" w:type="dxa"/>
          </w:tcPr>
          <w:p w:rsidR="00722FCB" w:rsidRPr="00A5660D" w:rsidRDefault="00722FCB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</w:t>
      </w:r>
      <w:r w:rsidRPr="00882EA3">
        <w:rPr>
          <w:rFonts w:ascii="Times New Roman" w:eastAsia="Calibri" w:hAnsi="Times New Roman" w:cs="Times New Roman"/>
          <w:sz w:val="20"/>
          <w:szCs w:val="20"/>
        </w:rPr>
        <w:t>н</w:t>
      </w:r>
      <w:r w:rsidRPr="00882EA3">
        <w:rPr>
          <w:rFonts w:ascii="Times New Roman" w:eastAsia="Calibri" w:hAnsi="Times New Roman" w:cs="Times New Roman"/>
          <w:sz w:val="20"/>
          <w:szCs w:val="20"/>
        </w:rPr>
        <w:t>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</w:t>
      </w:r>
      <w:r w:rsidRPr="00882EA3">
        <w:rPr>
          <w:rFonts w:ascii="Times New Roman" w:eastAsia="Calibri" w:hAnsi="Times New Roman" w:cs="Times New Roman"/>
          <w:sz w:val="20"/>
          <w:szCs w:val="20"/>
        </w:rPr>
        <w:t>е</w:t>
      </w:r>
      <w:r w:rsidRPr="00882EA3">
        <w:rPr>
          <w:rFonts w:ascii="Times New Roman" w:eastAsia="Calibri" w:hAnsi="Times New Roman" w:cs="Times New Roman"/>
          <w:sz w:val="20"/>
          <w:szCs w:val="20"/>
        </w:rPr>
        <w:t>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</w:t>
      </w:r>
      <w:r w:rsidRPr="00882EA3">
        <w:rPr>
          <w:rFonts w:ascii="Times New Roman" w:eastAsia="Calibri" w:hAnsi="Times New Roman" w:cs="Times New Roman"/>
          <w:sz w:val="20"/>
          <w:szCs w:val="20"/>
        </w:rPr>
        <w:t>п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83408">
        <w:rPr>
          <w:rFonts w:ascii="Times New Roman" w:hAnsi="Times New Roman"/>
          <w:b/>
          <w:color w:val="FF0000"/>
          <w:sz w:val="20"/>
        </w:rPr>
        <w:t>139 957,94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D83408">
        <w:rPr>
          <w:rFonts w:ascii="Times New Roman" w:hAnsi="Times New Roman"/>
          <w:sz w:val="20"/>
        </w:rPr>
        <w:t>сто тридцать девять тысяч девятьсот пятьдесят семь</w:t>
      </w:r>
      <w:r w:rsidR="00B90E04">
        <w:rPr>
          <w:rFonts w:ascii="Times New Roman" w:hAnsi="Times New Roman"/>
          <w:sz w:val="20"/>
        </w:rPr>
        <w:t xml:space="preserve"> рублей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D83408">
        <w:rPr>
          <w:rFonts w:ascii="Times New Roman" w:hAnsi="Times New Roman"/>
          <w:sz w:val="20"/>
        </w:rPr>
        <w:t>94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D83408">
        <w:rPr>
          <w:rFonts w:ascii="Times New Roman" w:hAnsi="Times New Roman"/>
          <w:sz w:val="20"/>
        </w:rPr>
        <w:t>й</w:t>
      </w:r>
      <w:r w:rsidR="003209DC" w:rsidRPr="003209DC">
        <w:rPr>
          <w:rFonts w:ascii="Times New Roman" w:hAnsi="Times New Roman"/>
          <w:sz w:val="20"/>
        </w:rPr>
        <w:t>к</w:t>
      </w:r>
      <w:r w:rsidR="00D83408">
        <w:rPr>
          <w:rFonts w:ascii="Times New Roman" w:hAnsi="Times New Roman"/>
          <w:sz w:val="20"/>
        </w:rPr>
        <w:t>и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B41BEA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Pr="00DC65DE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Ноутбук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Модель</w:t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ASUS </w:t>
            </w:r>
            <w:proofErr w:type="spellStart"/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VivoBook</w:t>
            </w:r>
            <w:proofErr w:type="spellEnd"/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N705UN-GC173T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66 226,30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132 452,60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Сумка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кейс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для ноутбука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переносная </w:t>
            </w:r>
          </w:p>
          <w:p w:rsidR="00882EA3" w:rsidRPr="00882EA3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М</w:t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о</w:t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дель RIVACASE 8455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5 186,00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Default="00882EA3" w:rsidP="00882EA3">
            <w:pPr>
              <w:pStyle w:val="ab"/>
              <w:spacing w:before="0" w:beforeAutospacing="0" w:after="0" w:afterAutospacing="0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Манипулятор т</w:t>
            </w:r>
            <w:r w:rsidRPr="00882EA3">
              <w:rPr>
                <w:sz w:val="20"/>
                <w:szCs w:val="22"/>
              </w:rPr>
              <w:t>и</w:t>
            </w:r>
            <w:r w:rsidRPr="00882EA3">
              <w:rPr>
                <w:sz w:val="20"/>
                <w:szCs w:val="22"/>
              </w:rPr>
              <w:t>па «мышь»</w:t>
            </w:r>
          </w:p>
          <w:p w:rsidR="00882EA3" w:rsidRPr="00882EA3" w:rsidRDefault="00882EA3" w:rsidP="00882EA3">
            <w:pPr>
              <w:pStyle w:val="ab"/>
              <w:spacing w:before="0" w:beforeAutospacing="0" w:after="0" w:afterAutospacing="0"/>
              <w:rPr>
                <w:i/>
                <w:sz w:val="20"/>
                <w:szCs w:val="22"/>
              </w:rPr>
            </w:pPr>
            <w:r w:rsidRPr="00882EA3">
              <w:rPr>
                <w:i/>
                <w:sz w:val="20"/>
                <w:szCs w:val="22"/>
              </w:rPr>
              <w:t>М</w:t>
            </w:r>
            <w:r w:rsidRPr="00882EA3">
              <w:rPr>
                <w:i/>
                <w:sz w:val="20"/>
                <w:szCs w:val="22"/>
              </w:rPr>
              <w:t>о</w:t>
            </w:r>
            <w:r w:rsidRPr="00882EA3">
              <w:rPr>
                <w:i/>
                <w:sz w:val="20"/>
                <w:szCs w:val="22"/>
              </w:rPr>
              <w:t xml:space="preserve">дель </w:t>
            </w:r>
            <w:proofErr w:type="spellStart"/>
            <w:r w:rsidRPr="00882EA3">
              <w:rPr>
                <w:i/>
                <w:sz w:val="20"/>
                <w:szCs w:val="22"/>
              </w:rPr>
              <w:t>Genius</w:t>
            </w:r>
            <w:proofErr w:type="spellEnd"/>
            <w:r w:rsidRPr="00882EA3">
              <w:rPr>
                <w:i/>
                <w:sz w:val="20"/>
                <w:szCs w:val="22"/>
              </w:rPr>
              <w:t xml:space="preserve"> NX-7015 </w:t>
            </w:r>
            <w:proofErr w:type="spellStart"/>
            <w:r w:rsidRPr="00882EA3">
              <w:rPr>
                <w:i/>
                <w:sz w:val="20"/>
                <w:szCs w:val="22"/>
              </w:rPr>
              <w:t>Iron</w:t>
            </w:r>
            <w:proofErr w:type="spellEnd"/>
            <w:r w:rsidRPr="00882EA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82EA3">
              <w:rPr>
                <w:i/>
                <w:sz w:val="20"/>
                <w:szCs w:val="22"/>
              </w:rPr>
              <w:t>Grey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2 319,34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139 957,94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lastRenderedPageBreak/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83408" w:rsidRPr="00D83408" w:rsidRDefault="00D83408" w:rsidP="00D8340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D83408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rFonts w:ascii="Times New Roman" w:hAnsi="Times New Roman" w:cs="Times New Roman"/>
          <w:sz w:val="20"/>
          <w:szCs w:val="20"/>
        </w:rPr>
        <w:t>н</w:t>
      </w:r>
      <w:r w:rsidRPr="00D83408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D83408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D83408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9" w:history="1">
        <w:r w:rsidRPr="00D83408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компьютерного об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о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рудования для нужд КУИЦ "Энергетика" БрГУ</w:t>
      </w:r>
      <w:r w:rsidR="00A35D3D" w:rsidRPr="00A35D3D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46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3E" w:rsidRDefault="000E573E" w:rsidP="003D59F3">
      <w:pPr>
        <w:spacing w:after="0" w:line="240" w:lineRule="auto"/>
      </w:pPr>
      <w:r>
        <w:separator/>
      </w:r>
    </w:p>
  </w:endnote>
  <w:endnote w:type="continuationSeparator" w:id="0">
    <w:p w:rsidR="000E573E" w:rsidRDefault="000E573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248CC" w:rsidRDefault="00A248CC">
        <w:pPr>
          <w:pStyle w:val="a3"/>
          <w:jc w:val="right"/>
        </w:pPr>
        <w:fldSimple w:instr=" PAGE   \* MERGEFORMAT ">
          <w:r w:rsidR="00FD3F15">
            <w:rPr>
              <w:noProof/>
            </w:rPr>
            <w:t>1</w:t>
          </w:r>
        </w:fldSimple>
      </w:p>
    </w:sdtContent>
  </w:sdt>
  <w:p w:rsidR="00A248CC" w:rsidRDefault="00A248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3E" w:rsidRDefault="000E573E" w:rsidP="003D59F3">
      <w:pPr>
        <w:spacing w:after="0" w:line="240" w:lineRule="auto"/>
      </w:pPr>
      <w:r>
        <w:separator/>
      </w:r>
    </w:p>
  </w:footnote>
  <w:footnote w:type="continuationSeparator" w:id="0">
    <w:p w:rsidR="000E573E" w:rsidRDefault="000E573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7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2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1"/>
  </w:num>
  <w:num w:numId="5">
    <w:abstractNumId w:val="9"/>
  </w:num>
  <w:num w:numId="6">
    <w:abstractNumId w:val="25"/>
  </w:num>
  <w:num w:numId="7">
    <w:abstractNumId w:val="19"/>
  </w:num>
  <w:num w:numId="8">
    <w:abstractNumId w:val="10"/>
  </w:num>
  <w:num w:numId="9">
    <w:abstractNumId w:val="26"/>
  </w:num>
  <w:num w:numId="10">
    <w:abstractNumId w:val="0"/>
  </w:num>
  <w:num w:numId="11">
    <w:abstractNumId w:val="31"/>
  </w:num>
  <w:num w:numId="12">
    <w:abstractNumId w:val="7"/>
  </w:num>
  <w:num w:numId="13">
    <w:abstractNumId w:val="4"/>
  </w:num>
  <w:num w:numId="14">
    <w:abstractNumId w:val="28"/>
  </w:num>
  <w:num w:numId="15">
    <w:abstractNumId w:val="24"/>
  </w:num>
  <w:num w:numId="16">
    <w:abstractNumId w:val="2"/>
  </w:num>
  <w:num w:numId="17">
    <w:abstractNumId w:val="27"/>
  </w:num>
  <w:num w:numId="18">
    <w:abstractNumId w:val="3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  <w:num w:numId="27">
    <w:abstractNumId w:val="29"/>
  </w:num>
  <w:num w:numId="28">
    <w:abstractNumId w:val="5"/>
  </w:num>
  <w:num w:numId="29">
    <w:abstractNumId w:val="16"/>
  </w:num>
  <w:num w:numId="30">
    <w:abstractNumId w:val="8"/>
  </w:num>
  <w:num w:numId="31">
    <w:abstractNumId w:val="14"/>
  </w:num>
  <w:num w:numId="32">
    <w:abstractNumId w:val="32"/>
  </w:num>
  <w:num w:numId="33">
    <w:abstractNumId w:val="18"/>
  </w:num>
  <w:num w:numId="34">
    <w:abstractNumId w:val="1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product/d8c3d58ca5cd3330/173-sumka-cross-case-cc17-014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54</cp:revision>
  <cp:lastPrinted>2019-04-03T03:40:00Z</cp:lastPrinted>
  <dcterms:created xsi:type="dcterms:W3CDTF">2014-10-02T06:08:00Z</dcterms:created>
  <dcterms:modified xsi:type="dcterms:W3CDTF">2020-06-05T05:11:00Z</dcterms:modified>
</cp:coreProperties>
</file>