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</w:t>
      </w:r>
      <w:proofErr w:type="spellStart"/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5»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36928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</w:t>
      </w:r>
      <w:proofErr w:type="spell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Место нахождение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г. Братск, жилой район Энергетик, ул. Макаренко, д. 40.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8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36928" w:rsidRPr="00736928" w:rsidRDefault="00736928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1.4.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Контактное лицо по условиям оказания услуг: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Гончаров Александр Владимирович, тел.: +7 9148892392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spellStart"/>
      <w:proofErr w:type="gram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proofErr w:type="spellEnd"/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оказание услуг по обеспечению единства измерений Лаб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ратории контроля металлов «</w:t>
      </w:r>
      <w:proofErr w:type="spell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Братсктехэксперт</w:t>
      </w:r>
      <w:proofErr w:type="spell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КУИЦ «Энергетика» </w:t>
      </w:r>
      <w:proofErr w:type="spell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proofErr w:type="spell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по «31» декабря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срок оказание услуг в отношении одного средства измерения не более чем 20 (двадцать) календарных дней с момента 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лучения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срок оказание услуг (период):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31» декабря 20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Pr="00213E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Состав работ по техническому обслуживанию, </w:t>
      </w: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калибровке, подготовке к поверке  средств измерений</w:t>
      </w:r>
      <w:r w:rsidRPr="00213E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6.2.1.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Техническое обслуживание  средств измерений (далее – СИ):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 операций или операция по поддержанию работоспособности или исправности СИ при использовании по назначению. Техническое обслуживание должно содержать регламентированные в технической документации операции для поддержания работоспособности или исправности СИ в течение его срока службы. В техническое обслуживание могут входить мойка СИ, очистка,  смазывание, замена расходных частей СИ, имеющих ограниченный срок службы  (например, фильтрующих элементов и т.п.), замена некоторых составных частей СИ, требующих замены в качестве обязательной профилактической операции для поддержания работоспособности СИ в целом в период до следующего технического обслуживания. После проведения регламентированных мероприятий об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зательно производится проверка работоспособности и метрологических характеристик СИ.</w:t>
      </w:r>
    </w:p>
    <w:p w:rsidR="00D4653A" w:rsidRPr="00213E52" w:rsidRDefault="00D4653A" w:rsidP="00213E52">
      <w:pPr>
        <w:widowControl w:val="0"/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6.2.2.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омплексная подготовка к поверке (калибровке) СИ: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астройка, регулировка, градуировка  СИ с использованием необходимых эталонов и измерительных приборов внешними регулировками и доступными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подстроечными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элементами без нарушения гарантийных пломб, без вскрытия прибора, без разборки и сборки, без замены каких-либо его составных частей.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9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нителя должна предусматривать возможность осуществления поверки средств измерений, указанных в Приложении № 1.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Приказ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02.07.2015 № 1815 «Об утверждении Порядка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поверителя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рактеристик средств измерений. Результаты калибровки средств измерений, а также содержание сертификатов калибровки, 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10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736928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736928" w:rsidRPr="0073692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193</w:t>
      </w:r>
      <w:r w:rsidR="0073692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="00736928" w:rsidRPr="0073692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882,38 </w:t>
      </w:r>
      <w:r w:rsidR="0073692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рубля </w:t>
      </w:r>
      <w:r w:rsidR="00736928"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36928" w:rsidRPr="007369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сто девяносто три тысячи восемьсот восемьдесят два рубля 38 копеек</w:t>
      </w:r>
      <w:r w:rsidR="00736928"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CF164F" w:rsidRPr="00CF164F" w:rsidRDefault="00CF164F" w:rsidP="00CF16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CF164F" w:rsidRPr="00CF164F" w:rsidRDefault="00CF164F" w:rsidP="00CF16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числения денежных сумм, на расчетный счет «Исполнителя» на основании счета. </w:t>
      </w:r>
    </w:p>
    <w:p w:rsidR="00CF164F" w:rsidRPr="00CF164F" w:rsidRDefault="00CF164F" w:rsidP="00CF16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9.3.Окончательный расчет  производится на основании Акта сдачи-приемки услуг и счета-фактуры, </w:t>
      </w:r>
      <w:proofErr w:type="gramStart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вы-данными</w:t>
      </w:r>
      <w:proofErr w:type="gramEnd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«Исполн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 5(пяти) календарных дней с момента подписания конкретного Акта сдачи-приемки услуг.</w:t>
      </w:r>
    </w:p>
    <w:p w:rsidR="00D4653A" w:rsidRDefault="00CF164F" w:rsidP="00CF16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9.4. Плательщиком по договору является структурное подразделение – КУИЦ «Энергетика» </w:t>
      </w:r>
      <w:proofErr w:type="spellStart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164F" w:rsidRPr="00213E52" w:rsidRDefault="00CF164F" w:rsidP="00CF164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управл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ющим, президентом и другими), членами коллегиального исполнительного органа хозяйственного общества, руководителем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участником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3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213E52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настоящем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ратора электронной площадки договор должен быть заключен не позднее чем через пять дней с даты указанного одобрения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закуп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вещении о проведении запроса котировок, проекте договора указывается, что оплата по договору будет осуществляться, 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ходя из количества (объема) фактически поставленного товара (выполненных работ, оказанных услуг), в размере, не прев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3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2020г.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15.3. Приложение № 4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Зам. директора КУИЦ «Энергетики» </w:t>
      </w:r>
      <w:proofErr w:type="spellStart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КУИЦ «Энергетика» </w:t>
      </w:r>
      <w:proofErr w:type="spellStart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ляда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лабораторией контроля металлов 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Братсктехэксперт</w:t>
      </w:r>
      <w:proofErr w:type="spellEnd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КУИЦ «Энергетика» </w:t>
      </w:r>
      <w:proofErr w:type="spellStart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А.В. Гончаров</w:t>
      </w:r>
    </w:p>
    <w:p w:rsidR="00213E52" w:rsidRP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</w:t>
      </w:r>
      <w:proofErr w:type="spellStart"/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БрГУ</w:t>
      </w:r>
      <w:proofErr w:type="spellEnd"/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чению единства измерений</w:t>
      </w:r>
      <w:r w:rsidR="00CF1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нужд КУИЦ «Энергетика» </w:t>
      </w:r>
      <w:proofErr w:type="spellStart"/>
      <w:r w:rsidR="00CF1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proofErr w:type="spellEnd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 момента заключения гражданско-правового договора по «31» декабря 20</w:t>
      </w:r>
      <w:r w:rsidR="00213E52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Настоящей заявкой участник закупки декларирует о соответствие участника закупки требованиям, установленных разделом 10.2 Извещения о проведении открытого запроса котировок в электронной форме № 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</w:t>
      </w:r>
      <w:r w:rsidR="00CF164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</w:t>
      </w:r>
      <w:proofErr w:type="spellStart"/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БрГУ</w:t>
      </w:r>
      <w:proofErr w:type="spellEnd"/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2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D4653A" w:rsidRPr="00211C99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lastRenderedPageBreak/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tbl>
      <w:tblPr>
        <w:tblpPr w:leftFromText="180" w:rightFromText="180" w:vertAnchor="page" w:horzAnchor="margin" w:tblpY="1904"/>
        <w:tblW w:w="15417" w:type="dxa"/>
        <w:tblLayout w:type="fixed"/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1538"/>
        <w:gridCol w:w="1538"/>
        <w:gridCol w:w="774"/>
        <w:gridCol w:w="893"/>
        <w:gridCol w:w="1923"/>
        <w:gridCol w:w="1923"/>
      </w:tblGrid>
      <w:tr w:rsidR="00CF164F" w:rsidRPr="00211C99" w:rsidTr="00CF164F">
        <w:trPr>
          <w:trHeight w:val="82"/>
          <w:tblHeader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Стоимость </w:t>
            </w:r>
            <w:r w:rsidR="000B030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 един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цу (шт.)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bookmarkStart w:id="2" w:name="_GoBack"/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</w:t>
            </w:r>
            <w:bookmarkEnd w:id="2"/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ть без НДС</w:t>
            </w:r>
          </w:p>
        </w:tc>
      </w:tr>
      <w:tr w:rsidR="00CF164F" w:rsidRPr="00211C99" w:rsidTr="00CF164F">
        <w:trPr>
          <w:trHeight w:val="346"/>
          <w:tblHeader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4F" w:rsidRPr="00211C99" w:rsidRDefault="00CF164F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4F" w:rsidRPr="00211C99" w:rsidRDefault="00CF164F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В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т.ч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. по пере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97"/>
          <w:tblHeader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НО ГИБ 60/4,0-2,0х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>,8 ст.20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3055-17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НО ГИБ 89/5,0-2,0х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>,8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3056-17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НО ГИБ 108/10,0-2,0х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>,0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3057-17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НО ГИБ 219/14,0-2,0х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>,0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3058-17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НО ГИБ 273/9,0-2,0х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>,0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3059-17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273/9,0-2,0х1,3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3054-17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219/14,0-3,5х2,0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3054-17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133/9,0-2,0х1,3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3052-17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38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32/4,0-1,3х1,0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3049-17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38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108/5,0-1,3х1,3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3051-17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35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60/4,0-1,3х1,0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3050-17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38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Настроечный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для проведения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звукового контроля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НО ОС-3 ст.20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15112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38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Стандартный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предприятия для ко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троля пр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никающими вещ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ствами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А18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38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Стандартный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предприятия для ко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троля пр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никающими вещ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ствами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С23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38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Стандартный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предприятия для ко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троля пр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никающими вещ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ствами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С38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388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Стандартный обр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зец предприятия для ко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троля пр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никающими вещ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ствами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С10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29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Шаблоны рад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усные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29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Шаблоны рад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усные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ШР №1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29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Шаблон сварщика для контроля кат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тов швов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УШС-2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Шаблон сварщика ун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версальный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УШС-3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Шаблон сварщика ун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версальный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УШС-3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55999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Линейка измер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тельная металл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ческая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Л-300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Линейка измер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тельная металл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ческая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Набор щупов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Набор щупов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Шаблоны рад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усные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ШР №3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Лупа измерител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ь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ЛИ-3-10х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Лупа измерител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ь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ЛИ-3-10х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Угольник поверо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ч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ный 90 слесарный плоский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УП (160х100)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20120628577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ШЦ-I-150-0,05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46199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ШЦ-II-250-0,05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707363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ШЦ-III-400-0,1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602739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Толщиномер</w:t>
            </w:r>
            <w:proofErr w:type="spell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ТЭМП-УТ1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Толщиномер</w:t>
            </w:r>
            <w:proofErr w:type="spell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Булат-1М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3154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Толщиномер</w:t>
            </w:r>
            <w:proofErr w:type="spell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Булат-1М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2895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Измеритель тве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дости ультразвук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УЗИТ-3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1281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Твердомер электро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ный малогаб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ритный перено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с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ТЭМП-2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201026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Твердомер электро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ный малогаб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ритный перено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с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ТЭМП-2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029441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Измеритель напряже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ности магнитного поля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ИМАГ-400Ц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6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Люксметр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Testo</w:t>
            </w:r>
            <w:proofErr w:type="spell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545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02433900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3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Дефектоскоп </w:t>
            </w: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вихрет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о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ковый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ВД 3-81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3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Дефектоскоп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УД2-140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Е431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3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Дефектоскоп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УД2-140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Е209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3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Дефектоскоп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УД2-70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3012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35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Дефектоскоп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УД2-70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1826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3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Дефектоскоп ультр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звуковой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Phasor</w:t>
            </w:r>
            <w:proofErr w:type="spell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XS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024HXX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63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Дальномер лазе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р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Leica</w:t>
            </w:r>
            <w:proofErr w:type="spell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Disto</w:t>
            </w:r>
            <w:proofErr w:type="spell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D510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1074841251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Анализатор </w:t>
            </w:r>
            <w:proofErr w:type="spellStart"/>
            <w:r w:rsidRPr="00460FCE">
              <w:rPr>
                <w:rFonts w:ascii="Times New Roman" w:hAnsi="Times New Roman"/>
                <w:sz w:val="20"/>
                <w:szCs w:val="20"/>
              </w:rPr>
              <w:t>рентг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е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нофдуоресцен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т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460FCE">
              <w:rPr>
                <w:rFonts w:ascii="Times New Roman" w:hAnsi="Times New Roman"/>
                <w:sz w:val="20"/>
                <w:szCs w:val="20"/>
              </w:rPr>
              <w:t xml:space="preserve"> портативный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Х-МЕТ5000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506150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Машина испыт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 xml:space="preserve">тельная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ИП-250М-авто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Машина испыт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>а</w:t>
            </w:r>
            <w:r w:rsidRPr="00460FCE">
              <w:rPr>
                <w:rFonts w:ascii="Times New Roman" w:hAnsi="Times New Roman"/>
                <w:sz w:val="20"/>
                <w:szCs w:val="20"/>
              </w:rPr>
              <w:t xml:space="preserve">тельная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ИР-200М-авто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 xml:space="preserve">Копр </w:t>
            </w:r>
            <w:proofErr w:type="gramStart"/>
            <w:r w:rsidRPr="00460FCE">
              <w:rPr>
                <w:rFonts w:ascii="Times New Roman" w:hAnsi="Times New Roman"/>
                <w:sz w:val="20"/>
                <w:szCs w:val="20"/>
              </w:rPr>
              <w:t>маятниковый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МК-300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460FCE" w:rsidRDefault="00CF164F" w:rsidP="0012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13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0B030C" w:rsidP="000B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CF164F">
        <w:trPr>
          <w:trHeight w:val="194"/>
        </w:trPr>
        <w:tc>
          <w:tcPr>
            <w:tcW w:w="13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0B030C" w:rsidP="000B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НДС ___ %: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64F" w:rsidRPr="00211C99" w:rsidTr="000B030C">
        <w:trPr>
          <w:trHeight w:val="357"/>
        </w:trPr>
        <w:tc>
          <w:tcPr>
            <w:tcW w:w="13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64F" w:rsidRPr="00211C99" w:rsidRDefault="000B030C" w:rsidP="000B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к оплате: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64F" w:rsidRPr="00211C99" w:rsidRDefault="00CF164F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C99" w:rsidRPr="00211C99" w:rsidRDefault="00211C99" w:rsidP="00211C99">
      <w:pPr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28" w:rsidRDefault="00736928" w:rsidP="003D59F3">
      <w:pPr>
        <w:spacing w:after="0" w:line="240" w:lineRule="auto"/>
      </w:pPr>
      <w:r>
        <w:separator/>
      </w:r>
    </w:p>
  </w:endnote>
  <w:endnote w:type="continuationSeparator" w:id="0">
    <w:p w:rsidR="00736928" w:rsidRDefault="0073692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8630"/>
      <w:docPartObj>
        <w:docPartGallery w:val="Page Numbers (Bottom of Page)"/>
        <w:docPartUnique/>
      </w:docPartObj>
    </w:sdtPr>
    <w:sdtContent>
      <w:p w:rsidR="00736928" w:rsidRDefault="0073692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30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36928" w:rsidRDefault="007369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28" w:rsidRDefault="00736928" w:rsidP="003D59F3">
      <w:pPr>
        <w:spacing w:after="0" w:line="240" w:lineRule="auto"/>
      </w:pPr>
      <w:r>
        <w:separator/>
      </w:r>
    </w:p>
  </w:footnote>
  <w:footnote w:type="continuationSeparator" w:id="0">
    <w:p w:rsidR="00736928" w:rsidRDefault="0073692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6"/>
    <w:uiPriority w:val="59"/>
    <w:rsid w:val="00211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223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utverzhdeniya_polozh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6958</Words>
  <Characters>39663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Лобова Г.Д.</cp:lastModifiedBy>
  <cp:revision>45</cp:revision>
  <cp:lastPrinted>2019-04-03T03:40:00Z</cp:lastPrinted>
  <dcterms:created xsi:type="dcterms:W3CDTF">2014-10-02T06:08:00Z</dcterms:created>
  <dcterms:modified xsi:type="dcterms:W3CDTF">2020-02-23T12:55:00Z</dcterms:modified>
</cp:coreProperties>
</file>