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</w:t>
      </w:r>
      <w:proofErr w:type="spellStart"/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БрГУ</w:t>
      </w:r>
      <w:proofErr w:type="spellEnd"/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34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5» 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февраля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Запрос котировок в электронной форме проводится Заказчиком: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БрГУ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»).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Место нахождение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юридического лица и почтовый адрес: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г. Братск, жилой район Энергетик, ул. Макаренко, д. 40.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325441, адрес электронной почты: </w:t>
      </w:r>
      <w:hyperlink r:id="rId8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бюджетные средства ФГБОУ ВО «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БрГУ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оказание услуг по обеспечению единства измерений.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: </w:t>
      </w:r>
      <w:r w:rsidR="009E258A"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71.12.40.129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ОКВЭД2: </w:t>
      </w:r>
      <w:r w:rsidR="009E258A"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71.12.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Сроки оказания услуг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заключения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гражданско-правового договора по «31» декабря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Место и срок оказания услуг: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проводятся на производственных площадях Исполнителя.</w:t>
      </w:r>
    </w:p>
    <w:p w:rsidR="00D4653A" w:rsidRPr="00213E52" w:rsidRDefault="00D4653A" w:rsidP="00213E52">
      <w:pPr>
        <w:widowControl w:val="0"/>
        <w:tabs>
          <w:tab w:val="num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срок оказание услуг в отношении одного средства измерения не более чем 20 (двадцать) календарных дней с момента 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лучения оборудования от Заказчика. </w:t>
      </w:r>
    </w:p>
    <w:p w:rsidR="00D4653A" w:rsidRPr="00213E52" w:rsidRDefault="00D4653A" w:rsidP="00213E52">
      <w:pPr>
        <w:widowControl w:val="0"/>
        <w:tabs>
          <w:tab w:val="num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 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срок оказание услуг (период):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заключения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гражданско-правового договора по «</w:t>
      </w:r>
      <w:r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31» декабря 20</w:t>
      </w:r>
      <w:r w:rsidR="009E258A"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20 г</w:t>
      </w:r>
      <w:r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Предмет договора с указанием количества оказываемых услуг и описанием предмета настоящего запроса котир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вок: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6.1. Перечень работ/спецификация оборудования: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представлен в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 к настоящему Из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6.2. </w:t>
      </w:r>
      <w:r w:rsidRPr="00213E5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Состав работ по техническому обслуживанию, </w:t>
      </w:r>
      <w:r w:rsidRPr="00213E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калибровке, подготовке к поверке  средств измерений</w:t>
      </w:r>
      <w:r w:rsidRPr="00213E5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6.2.1.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Техническое обслуживание  средств измерений (далее – СИ):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 операций или операция по поддержанию работоспособности или исправности СИ при использовании по назначению. Техническое обслуживание должно содержать регламентированные в технической документации операции для поддержания работоспособности или исправности СИ в течение его срока службы. В техническое обслуживание могут входить мойка СИ, очистка,  смазывание, замена расходных частей СИ, имеющих ограниченный срок службы  (например, фильтрующих элементов и т.п.), замена некоторых составных частей СИ, требующих замены в качестве обязательной профилактической операции для поддержания работоспособности СИ в целом в период до следующего технического обслуживания. После проведения регламентированных мероприятий об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зательно производится проверка работоспособности и метрологических характеристик СИ.</w:t>
      </w:r>
    </w:p>
    <w:p w:rsidR="00D4653A" w:rsidRPr="00213E52" w:rsidRDefault="00D4653A" w:rsidP="00213E52">
      <w:pPr>
        <w:widowControl w:val="0"/>
        <w:shd w:val="clear" w:color="auto" w:fill="FFFFFF"/>
        <w:tabs>
          <w:tab w:val="left" w:pos="567"/>
          <w:tab w:val="num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6.2.2.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омплексная подготовка к поверке (калибровке) СИ: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астройка, регулировка, градуировка  СИ с использованием необходимых эталонов и измерительных приборов внешними регулировками и доступными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подстроечными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элементами без нарушения гарантийных пломб, без вскрытия прибора, без разборки и сборки, без замены каких-либо его составных частей.</w:t>
      </w:r>
    </w:p>
    <w:p w:rsidR="00D4653A" w:rsidRPr="00213E52" w:rsidRDefault="00D4653A" w:rsidP="00213E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6.3. Требования, предъявляемые к Исполнителю и услугам в области метрологии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6.3.1. Требования к исполнителю, осуществляющему поверку средств измерений:  Исполнитель, осуществляющий поверку средств измерений, должен быть аккредитован в соответствии с </w:t>
      </w:r>
      <w:hyperlink r:id="rId9" w:tooltip="Законы в России" w:history="1">
        <w:r w:rsidRPr="00213E5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законодательством Российской Федерации</w:t>
        </w:r>
      </w:hyperlink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 аккредитации в национальной системе аккредитации на проведение поверки средств измерений (ч. 2 ст. 13 Федерального закона от 26.06.2008 № 102-ФЗ  «Об обеспечении единства измерений»).</w:t>
      </w:r>
    </w:p>
    <w:p w:rsidR="00D4653A" w:rsidRPr="00213E52" w:rsidRDefault="00D4653A" w:rsidP="00213E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Аттестат аккредитации должен действовать в течение всего срока оказания услуг по поверке. Область аккредитации Испо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нителя должна предусматривать возможность осуществления поверки средств измерений, указанных в Приложении № 1.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6.3.2. Требования, предъявляемые к услугам по поверке средств измерений: Результатом поверки средств измерений должно являться подтверждение соответствия средств измерений метрологическим требованиям либо установление факта  их н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пригодности к применению, а также оформление соответствующих документов, предусмотренных Приказом Приказ </w:t>
      </w:r>
      <w:proofErr w:type="spell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промторга</w:t>
      </w:r>
      <w:proofErr w:type="spell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02.07.2015 № 1815 «Об утверждении Порядка проведения поверки средств измерений, требования к знаку поверки и содержанию свидетельства о поверке». Результаты поверки средств измерений должны удостоверяться зн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ком поверки, и (или) свидетельством о поверке, и (или) записью в паспорте (формуляре) средства измерений, заверяемой подписью </w:t>
      </w:r>
      <w:proofErr w:type="spell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поверителя</w:t>
      </w:r>
      <w:proofErr w:type="spell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знаком поверки.</w:t>
      </w:r>
    </w:p>
    <w:p w:rsidR="00D4653A" w:rsidRPr="00213E52" w:rsidRDefault="00D4653A" w:rsidP="00213E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6.3.3.  Требования, предъявляемые к услугам по калибровке средств измерений: Калибровка средств измерений должна в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полняться с использованием эталонов единиц величин, прослеживаемых к государственным первичным эталонам соотве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ствующих единиц величин, а при отсутствии соответствующих государственных первичных эталонов единиц величин — к национальным эталонам единиц величин иностранных государств (ч.1 ст.18 Федерального закона от 26.06.2008 № 102-ФЗ  «Об обеспечении единства измерений»).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Результатом калибровки средств измерений должно являться определение действительных значений метрологических х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рактеристик средств измерений. Результаты калибровки средств измерений, а также содержание сертификатов калибровки, оформляемых по результатам оказания услуг должны соответствовать требованиям Постановления Правительства Росси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ской Федерации от 02.04.2015 № 311 «Об </w:t>
      </w:r>
      <w:hyperlink r:id="rId10" w:tooltip="Утверждения положений" w:history="1">
        <w:r w:rsidRPr="00213E5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утверждении положения</w:t>
        </w:r>
      </w:hyperlink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о признании результатов калибровки при поверке средств измерений в сфере государственного регулирования обеспечения единства измерений» и/или Правил по метрологии </w:t>
      </w:r>
      <w:proofErr w:type="gram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gram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50.2.016-94 «Государственная система обеспечения единства измерений. Требования к выполнению калибровочных работ» (принятых Постановление Госстандарта  России от 21.09.94г. №17), в части, не противоречащей Федеральному закону от 26.06.2008 № 102-ФЗ  «Об обеспечении единства измерений».</w:t>
      </w:r>
    </w:p>
    <w:p w:rsidR="00D4653A" w:rsidRPr="00213E52" w:rsidRDefault="00D4653A" w:rsidP="00213E52">
      <w:pPr>
        <w:numPr>
          <w:ilvl w:val="1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 к гарантии качества: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Гарантийный срок на оказанные услуги должен быть не менее 6 месяцев со дня подписания акта сдачи-приемки услуг ст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ронами.</w:t>
      </w: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6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9E258A"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601 887,00</w:t>
      </w: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рублей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9E258A"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шестьсот одна тысяча восемьсот восемьдесят семь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рублей </w:t>
      </w:r>
      <w:r w:rsidR="009E258A"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00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копеек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D4653A" w:rsidRPr="00213E52" w:rsidRDefault="00D4653A" w:rsidP="00213E52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формирования цены договора:</w:t>
      </w:r>
    </w:p>
    <w:p w:rsidR="00D4653A" w:rsidRPr="00213E52" w:rsidRDefault="00D4653A" w:rsidP="00213E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8.1. </w:t>
      </w:r>
      <w:r w:rsidRPr="00213E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Предлагаемая Исполнителем цена договора должна включать в себя </w:t>
      </w:r>
      <w:r w:rsidRPr="00213E52">
        <w:rPr>
          <w:rFonts w:ascii="Times New Roman" w:eastAsia="Calibri" w:hAnsi="Times New Roman" w:cs="Times New Roman"/>
          <w:sz w:val="20"/>
          <w:szCs w:val="20"/>
        </w:rPr>
        <w:t>все расходы Исполнителя, связанные с оказанием услуг, транспортные расходы, в том числе расходы на оплату налогов (в том числе НДС), сборов и других обязательных пл</w:t>
      </w:r>
      <w:r w:rsidRPr="00213E52">
        <w:rPr>
          <w:rFonts w:ascii="Times New Roman" w:eastAsia="Calibri" w:hAnsi="Times New Roman" w:cs="Times New Roman"/>
          <w:sz w:val="20"/>
          <w:szCs w:val="20"/>
        </w:rPr>
        <w:t>а</w:t>
      </w:r>
      <w:r w:rsidRPr="00213E52">
        <w:rPr>
          <w:rFonts w:ascii="Times New Roman" w:eastAsia="Calibri" w:hAnsi="Times New Roman" w:cs="Times New Roman"/>
          <w:sz w:val="20"/>
          <w:szCs w:val="20"/>
        </w:rPr>
        <w:t>тежей.</w:t>
      </w:r>
    </w:p>
    <w:p w:rsidR="00D4653A" w:rsidRPr="00213E52" w:rsidRDefault="00D4653A" w:rsidP="00213E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договора остается твердой на весь период его действия и изменению не подлежит, за исключением случаев, пред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смотренных Положением о закупке.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  Сроки и условия оплаты оказанных услуг: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Безналичный расчёт.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Оплату за метрологические услуги «Заказчик» производит предварительно в размере 30% до начала услуг, путем 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числения денежных сумм, на расчетный счет «Исполнителя» на основании счета.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9.3.Окончательный расчет  производится на основании Акта сдачи-приемки услуг и счета-фактуры, выданными «Исполн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телем», не позднее  5(пяти) календарных дней с момента подписания конкретного Акта сдачи-приемки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управл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ющим, президентом и другими), членами коллегиального исполнительного органа хозяйственного общества, руководителем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дения, цены выполнения работ, оказания услуг российскими и иностранными лицами в случаях, если в заявке на участие в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участником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участия в запросе котировок в электронной форме участник подает заявку на Электронной торговой площадке (д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лее – ЭТП) в сети Интернет -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ЭТП «РТС-тендер».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Адрес ЭТП в сети Интернет: </w:t>
      </w:r>
      <w:hyperlink r:id="rId1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https://223.rts-tender.ru/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Содержание заявки на участие в запросе котировок в электронной форме: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  <w:r w:rsidRPr="00213E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извещению;</w:t>
      </w:r>
    </w:p>
    <w:p w:rsidR="009E258A" w:rsidRPr="00213E52" w:rsidRDefault="009E258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копия аттестата об аккредитации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области единства измерений (область аккредитации должна охватывать все средства измерений, перечисленные в приложении № 3 к настоящему Извещению).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12.5.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февраля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с 08:00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04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февраля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февраля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D4653A" w:rsidRPr="00213E52" w:rsidRDefault="00D4653A" w:rsidP="00213E52">
      <w:pPr>
        <w:keepNext/>
        <w:keepLines/>
        <w:widowControl w:val="0"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05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БрГУ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настоящем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ключается, в течение пяти дней со дня размещения в единой информационной системе итогового протокола. Последующий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закуп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вещении о проведении запроса котировок, проекте договора указывается, что оплата по договору будет осуществляться, 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ходя из количества (объема) фактически поставленного товара (выполненных работ, оказанных услуг), в размере, не прев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15.2. Приложение № 3 – </w:t>
      </w:r>
      <w:r w:rsidR="00213E52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оборудования (средств измерений) подлежащий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поверки (калибровки)</w:t>
      </w:r>
      <w:r w:rsidR="00213E52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2020г.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(прикре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ленный файл).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15.3. Приложение № 4 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ПФО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В.М. Дудин</w:t>
      </w:r>
    </w:p>
    <w:p w:rsidR="00D4653A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17C" w:rsidRDefault="009031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</w:t>
      </w:r>
      <w:proofErr w:type="spellStart"/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БрГУ</w:t>
      </w:r>
      <w:proofErr w:type="spellEnd"/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Приложение_№_2"/>
      <w:bookmarkEnd w:id="1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оказать услуги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обесп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чению единства измерений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tabs>
          <w:tab w:val="left" w:pos="8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Место оказания услуг: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__________________________.</w:t>
      </w: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Срок оказания услуг: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с момента заключения гражданско-правового договора по «31» декабря 20</w:t>
      </w:r>
      <w:r w:rsidR="00213E52"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г.</w:t>
      </w: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Сведения об участнике запроса котировок в электронной форме: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Место нахождения юридического лица: 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2) Место жительства (для физического лица, ИП): 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Почтовый адрес (для юридического лица, физического лица, ИП): 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Должность, Ф.И.О.(полные) контактного лица: 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proofErr w:type="gramEnd"/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5) Номер контактного телефона: 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Номер телефакса: 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7) Адрес электронной почты: 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8) ИНН: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9) КПП: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10) ОГРН: _________________________, дата постановки на учет: __.__.____г. ОКПО: 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11) Банковские реквизиты (для юридического лица, ИП):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банка: ___________________________________________________________</w:t>
      </w: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53A" w:rsidRPr="00945C83" w:rsidTr="009E258A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Декларирование: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Настоящей заявкой участник закупки декларирует о соответствие участника закупки требованиям, установленных разделом 10.2 Извещения о проведении открытого запроса котировок в электронной форме № 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34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-ЗК от 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25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02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.20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г.</w:t>
      </w:r>
    </w:p>
    <w:p w:rsidR="00D4653A" w:rsidRPr="00945C83" w:rsidRDefault="00D4653A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</w:p>
    <w:p w:rsidR="00D4653A" w:rsidRPr="00945C83" w:rsidRDefault="00D4653A" w:rsidP="00D4653A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аттестата аккредитации Исполнителя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P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</w:t>
      </w:r>
      <w:proofErr w:type="spellStart"/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БрГУ</w:t>
      </w:r>
      <w:proofErr w:type="spellEnd"/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D4653A" w:rsidRPr="00945C83" w:rsidRDefault="00D4653A" w:rsidP="00D4653A">
      <w:pPr>
        <w:tabs>
          <w:tab w:val="left" w:pos="80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</w:t>
      </w: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Итого стоимость предложения составляет: _________________________ рублей.</w:t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том числе НДС __%, что составляет _______________________________ рублей.</w:t>
      </w:r>
    </w:p>
    <w:p w:rsidR="00213E52" w:rsidRPr="00945C83" w:rsidRDefault="00213E52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Приложение спецификация стоимости.</w:t>
      </w: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Сведения о включенных в цену расходах: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расходы Исполнителя, связанные с оказанием услуг;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транспортные расходы;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расходы на оплату налогов (в том числе НДС), сборов и других обязательных платежей.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0"/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признаем (</w:t>
      </w:r>
      <w:r w:rsidRPr="00945C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признает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Default="00D4653A">
      <w:pPr>
        <w:sectPr w:rsidR="00D4653A" w:rsidSect="00A75881">
          <w:footerReference w:type="default" r:id="rId12"/>
          <w:pgSz w:w="11906" w:h="16838"/>
          <w:pgMar w:top="568" w:right="567" w:bottom="851" w:left="567" w:header="709" w:footer="709" w:gutter="0"/>
          <w:cols w:space="708"/>
          <w:docGrid w:linePitch="360"/>
        </w:sectPr>
      </w:pPr>
    </w:p>
    <w:p w:rsidR="00D4653A" w:rsidRPr="00211C99" w:rsidRDefault="00213E52" w:rsidP="00211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11C99">
        <w:rPr>
          <w:rFonts w:ascii="Times New Roman" w:hAnsi="Times New Roman" w:cs="Times New Roman"/>
          <w:sz w:val="24"/>
          <w:szCs w:val="20"/>
        </w:rPr>
        <w:lastRenderedPageBreak/>
        <w:t xml:space="preserve">Спецификация стоимости </w:t>
      </w:r>
      <w:r w:rsidR="00211C99" w:rsidRPr="00211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услуг </w:t>
      </w:r>
      <w:r w:rsidR="00211C99" w:rsidRPr="00211C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 обеспечению единства измерений</w:t>
      </w:r>
    </w:p>
    <w:tbl>
      <w:tblPr>
        <w:tblpPr w:leftFromText="180" w:rightFromText="180" w:vertAnchor="page" w:horzAnchor="margin" w:tblpY="1904"/>
        <w:tblW w:w="15627" w:type="dxa"/>
        <w:tblLayout w:type="fixed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282"/>
        <w:gridCol w:w="1282"/>
        <w:gridCol w:w="645"/>
        <w:gridCol w:w="744"/>
        <w:gridCol w:w="1495"/>
        <w:gridCol w:w="1282"/>
        <w:gridCol w:w="1603"/>
        <w:gridCol w:w="1603"/>
      </w:tblGrid>
      <w:tr w:rsidR="00211C99" w:rsidRPr="00211C99" w:rsidTr="00896D7D">
        <w:trPr>
          <w:trHeight w:val="166"/>
          <w:tblHeader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Код по прейскуранту Исполнителя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по прейскуранту И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полнителя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СИ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Тип СИ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Заводской номер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Кол-во (шт.)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Метрологические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характеристики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Стоимость за единицу (шт.)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Общая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  <w:t>стоимость без НДС</w:t>
            </w:r>
          </w:p>
        </w:tc>
      </w:tr>
      <w:tr w:rsidR="00211C99" w:rsidRPr="00211C99" w:rsidTr="00211C99">
        <w:trPr>
          <w:trHeight w:val="704"/>
          <w:tblHeader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Вс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го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В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т.ч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. по п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ре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ню*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Класс точности, погрешность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Предел (ди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пазон изм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рений)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197"/>
          <w:tblHeader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211C99" w:rsidRPr="00211C99" w:rsidTr="00896D7D">
        <w:trPr>
          <w:trHeight w:val="166"/>
        </w:trPr>
        <w:tc>
          <w:tcPr>
            <w:tcW w:w="15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строительных конструкций и технологий строительства</w:t>
            </w:r>
          </w:p>
        </w:tc>
      </w:tr>
      <w:tr w:rsidR="00211C99" w:rsidRPr="00211C99" w:rsidTr="00211C99">
        <w:trPr>
          <w:trHeight w:val="395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ультразв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ковой 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УКС-МГ4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ультразв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ковой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УКС-МГ4С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ности бетона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ОНИКС-ОС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ности бетона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ОНИКС-1.ОС.100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ности бетона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ОНИКС-1.СР.030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Прогибометр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6-ПАО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ский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ПГ+-2%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предельная нагрузка 125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Универсальная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сервогидравлич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WAW-500C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точности 0,5. ПГ +-0,5%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предельная нагрузка 50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656707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6мкм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0-10мм Наибольшее измерител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ное усилие 1,5Н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6мкм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0-10мм Наибольшее измерител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ное усилие 1,5Н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274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6мкм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0-10мм Наибольшее измерител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ное усилие 1,5Н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6мкм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0-10мм Наибольшее измерител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ное усилие 1,5Н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6мкм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0-10мм Наибольшее измерител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ное усилие 1,5Н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6мкм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0-10мм Наибольшее измерител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ное усилие 1,5Н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6мкм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0-10мм Наибольшее измерител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ное усилие 1,5Н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6мкм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0-10мм Наибольшее измерител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ное усилие 1,5Н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59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DL-1200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15604802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кий ПГ +- 0,2г.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0,5…1200г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59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и скорости ра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пространения ул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тразвука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 1.0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59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и скорости ра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пространения ул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тразвука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 2.2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вибр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"Корсар"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928 с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vibro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sensor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884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ударно-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имульсионный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30252-10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197"/>
        </w:trPr>
        <w:tc>
          <w:tcPr>
            <w:tcW w:w="15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Испытательный центр «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Братскстройэксперт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211C99" w:rsidRPr="00211C99" w:rsidTr="00896D7D">
        <w:trPr>
          <w:trHeight w:val="338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ПСУ-250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+- 1,5%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предельная нагрузка 250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тс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</w:tr>
      <w:tr w:rsidR="00211C99" w:rsidRPr="00211C99" w:rsidTr="00896D7D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50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</w:tr>
      <w:tr w:rsidR="00211C99" w:rsidRPr="00211C99" w:rsidTr="00896D7D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50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</w:tr>
      <w:tr w:rsidR="00211C99" w:rsidRPr="00211C99" w:rsidTr="00896D7D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ИП-100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10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</w:tr>
      <w:tr w:rsidR="00211C99" w:rsidRPr="00211C99" w:rsidTr="00896D7D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испытател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мобильный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МИП-25Р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50…250кН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</w:tr>
      <w:tr w:rsidR="00211C99" w:rsidRPr="00211C99" w:rsidTr="00896D7D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Разрывная машина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WAW 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АЦДС-500И-2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с инд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катором №148964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+- 0,45%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50...500кН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ра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ДЭП3-1Д-5Р-2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+- 0,45%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0,1...5000кН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ИЧ-02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ПГ +- 0,012%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0-2 мм                       ЦД 0,01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МК-15.2-А20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0,04…15  кг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TB-S-200.2-A1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0,4…200  кг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SPU4001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7129080215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+- 0,3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2…4000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DL-3000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15609501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0,5…3200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ЕК-300i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Р1895617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+- 0,02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MW II-3000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96229252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SPX 2202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B813606630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мех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СОПпр-2а-3-000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ПГ +- 4,8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0,2…180 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 и анализа вибрации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Корсар++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Конус Васильева балансирный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КВ-1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Пенетрометр ста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дартный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 ПК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274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опр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деления темпер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размягчения битума (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Ле-Шателье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3363-72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бетона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520, 813, 973, 814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ударно-импульсный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ОНИКС-2.61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+- 8%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(скол ребра)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ОНИКС-1.СР.030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5…30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(отрыв со скалыванием)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ОНИКС-1.ОС.100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5…100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распростран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ультразвука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Пульсар-1.2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10…999,9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осв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щенности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тве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 металлов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Novotest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83130817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47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6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1…500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 мм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тельная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1…10000 мм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игольчатый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2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TS11 R100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1670062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YC50/5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314405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1…50000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31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ШЦ-II-120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80217559, 1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0,1…120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Щупы набор (17 шт.)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0,02…0,5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 поверо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Рулеттка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 РЗУ2П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Б915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 лазе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DISTO D8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513410322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+-1,0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0,2…200 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Шаблон для опр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деления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лещадн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К231201731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крытий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F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Condtrol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+- 3%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0…1000 мкм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нивелир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DNA 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+-0,3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Нивелир оптич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 компенсат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DSZ3 SETL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+-1,5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VEGA TEO20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496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0,25; 0,5; 1,0; 2,0; 5,0 10,0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КП-109/1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0,16; 0,315; 0,63; 1,25; 2,5; 5,0; 7,5; 10,0; 12,5; 15; 17,5; 20,0; 2; 2,5; 30; 40; 50; 60; 70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27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Сита лабораторные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20/50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мерами 0,1;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0,25; 0,5; 1,0; 2,0; 5,0; 10,0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496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Калибры круглые для щебня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КП-601/2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Диаметр калибров 90; 100; 110; 120; 150; 200; 300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тразвуковой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PANAMETRICS-NDT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26MG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71149205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 до 500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У1-ЕСЛ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ячейка 0,9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ячейка 0,05; 0,08; 0,125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 с ква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ратными ячейками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0,14; 0,315; 0,63; 1,25; 2,5; 5,0; 10,0; 20,0; 40,0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 изб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точного давления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МП4-Уф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0…25 кгс/см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ВП4-3ф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-1 - 0 кгс/см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ко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тактный цифровой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ТК-5.06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1258698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-40…+100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ко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тактный цифровой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ТК-5.06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1258668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-40…+100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эле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ТЭН-5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-60…+200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С-20.4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-18…+1500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66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Метеометр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МЭС-200А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+-0,3 кПа       0…98%                   -40…85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spellEnd"/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 нормируется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80…110 кПа                            0…98%                            -40…85 град. С                0…20 м/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Тепловизор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FLIR b60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399019747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-20…+120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spellEnd"/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197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197"/>
        </w:trPr>
        <w:tc>
          <w:tcPr>
            <w:tcW w:w="15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Санаторий-профилакторий</w:t>
            </w: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гал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ванизации и эле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трофореза 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Поток-1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0,50%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гал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ванизации и эле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трофореза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Поток-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0,50%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низкоч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стотной терапии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пульс-4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Стерилизатор п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ровой 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ВК-30-01 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 Н</w:t>
            </w:r>
          </w:p>
        </w:tc>
        <w:tc>
          <w:tcPr>
            <w:tcW w:w="1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1.Манометр пок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зывающий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обы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новенное</w:t>
            </w:r>
            <w:proofErr w:type="gramEnd"/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2.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Маномвакуу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электроко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тактный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сигнал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зирующий</w:t>
            </w: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ул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тразвуковой тер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УЗТ-101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±30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3-х кг)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для столовой (до 10 кг)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CAS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SW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для столовой (до 6 кг)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РН-6Ц13УМ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02623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Весы медицинские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РП-150 МГ по ТУ 9441-004-00226425-2005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7428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 5кг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70935627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до 1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МК 32.2 А20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82767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Матрикс-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Влок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Полимаг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Полюс-1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леч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ДДТ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Тонус-2М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 от 5- 50мкг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13589097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Биохимический анализатор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Фотометр-Роки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709038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 артериал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давления МТ-20 (манометр)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МТ-20               LD-70                  LD-71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белка в моче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Белур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 АОБМФ-01НПП-ТМ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гем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тологический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Medonic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паров эталона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Алкотестер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Drivesafe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DS03HAN293001478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транскр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ниального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возде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ствия четырехк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нальный «МДМ-101-1»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МДМ-101-1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BF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Ультрозвуковая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диагностическая система с цветным картированием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Mindray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DC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MX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-57007076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742291">
        <w:trPr>
          <w:trHeight w:val="407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4238B7">
        <w:trPr>
          <w:trHeight w:val="197"/>
        </w:trPr>
        <w:tc>
          <w:tcPr>
            <w:tcW w:w="15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Испытательная лаборатория (центр)</w:t>
            </w:r>
          </w:p>
        </w:tc>
      </w:tr>
      <w:tr w:rsidR="00211C99" w:rsidRPr="00211C99" w:rsidTr="00896D7D">
        <w:trPr>
          <w:trHeight w:val="197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лаб.GH252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15101627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0-250 г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Секундомер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СОСпр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2б-2-000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0-60 сек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Автоматический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титратор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МКС-520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3610412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0-100%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Анализатор серы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Спектроскан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0-5%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комбин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рованный TESTO-622 (3 параметра)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39502646206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77FFC">
        <w:trPr>
          <w:trHeight w:val="395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56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</w:t>
            </w: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 (DD)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81135444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100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10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AD-5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902347416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20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5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MK-15.2-A-21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10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15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9105594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100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10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TB-M-600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 2 кг до 300/600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100/200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механич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PH-3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 13 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20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3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механич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РН-6 Ц 13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40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6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211C99" w:rsidRDefault="00211C99" w:rsidP="00211C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  <w:p w:rsidR="00211C99" w:rsidRPr="00211C99" w:rsidRDefault="00211C99" w:rsidP="00211C99">
            <w:pPr>
              <w:spacing w:after="0"/>
              <w:rPr>
                <w:sz w:val="1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9612449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2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5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56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Жилищно-эксплуатационное управление</w:t>
            </w:r>
          </w:p>
        </w:tc>
      </w:tr>
      <w:tr w:rsidR="00211C99" w:rsidRPr="00211C99" w:rsidTr="00896D7D">
        <w:trPr>
          <w:trHeight w:val="45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тока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Т-066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200/5 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тока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Т-066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100/5 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тока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Т-066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150/5 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тока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Т-066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200/5 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тока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Т-066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600/5 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тока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ТТИ-А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150/5 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тока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Т-066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400/5 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0-1,6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Теплосчетчик в комплекте (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ТСК-5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0,12-30м3/час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Теплосчетчик в комплекте (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ТЭМ-104-4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0465201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0,12-30м3/час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горячей воды (спортзал)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Саяны-20 (ЕТН)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04072482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0,05-5м3/час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горячей воды (мастерские)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Саяны-15 (ЕТН)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04048418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0,05-5м3/час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холодной воды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СВК-50Г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3020765А13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0,07-7м3/час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896D7D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стоимость</w:t>
            </w: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НДС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</w:t>
            </w: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%: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2" w:name="_GoBack"/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к оплате:</w:t>
            </w:r>
          </w:p>
          <w:bookmarkEnd w:id="2"/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1C99" w:rsidRPr="00211C99" w:rsidRDefault="00211C99" w:rsidP="00211C99">
      <w:pPr>
        <w:rPr>
          <w:rFonts w:ascii="Times New Roman" w:hAnsi="Times New Roman" w:cs="Times New Roman"/>
          <w:sz w:val="6"/>
          <w:szCs w:val="24"/>
        </w:rPr>
      </w:pPr>
    </w:p>
    <w:sectPr w:rsidR="00211C99" w:rsidRPr="00211C99" w:rsidSect="009851A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8A" w:rsidRDefault="009E258A" w:rsidP="003D59F3">
      <w:pPr>
        <w:spacing w:after="0" w:line="240" w:lineRule="auto"/>
      </w:pPr>
      <w:r>
        <w:separator/>
      </w:r>
    </w:p>
  </w:endnote>
  <w:endnote w:type="continuationSeparator" w:id="0">
    <w:p w:rsidR="009E258A" w:rsidRDefault="009E258A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8630"/>
      <w:docPartObj>
        <w:docPartGallery w:val="Page Numbers (Bottom of Page)"/>
        <w:docPartUnique/>
      </w:docPartObj>
    </w:sdtPr>
    <w:sdtEndPr/>
    <w:sdtContent>
      <w:p w:rsidR="009E258A" w:rsidRDefault="009E258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17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E258A" w:rsidRDefault="009E25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8A" w:rsidRDefault="009E258A" w:rsidP="003D59F3">
      <w:pPr>
        <w:spacing w:after="0" w:line="240" w:lineRule="auto"/>
      </w:pPr>
      <w:r>
        <w:separator/>
      </w:r>
    </w:p>
  </w:footnote>
  <w:footnote w:type="continuationSeparator" w:id="0">
    <w:p w:rsidR="009E258A" w:rsidRDefault="009E258A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4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17C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uiPriority w:val="34"/>
    <w:qFormat/>
    <w:rsid w:val="00C24646"/>
    <w:pPr>
      <w:ind w:left="720"/>
      <w:contextualSpacing/>
    </w:pPr>
  </w:style>
  <w:style w:type="table" w:styleId="a6">
    <w:name w:val="Table Grid"/>
    <w:basedOn w:val="a1"/>
    <w:uiPriority w:val="59"/>
    <w:rsid w:val="00C246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15E"/>
  </w:style>
  <w:style w:type="character" w:styleId="a9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6"/>
    <w:uiPriority w:val="59"/>
    <w:rsid w:val="00211C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223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utverzhdeniya_polozhen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zakoni_v_ros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20</Pages>
  <Words>7950</Words>
  <Characters>45316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Лобова Г.Д.</cp:lastModifiedBy>
  <cp:revision>45</cp:revision>
  <cp:lastPrinted>2019-04-03T03:40:00Z</cp:lastPrinted>
  <dcterms:created xsi:type="dcterms:W3CDTF">2014-10-02T06:08:00Z</dcterms:created>
  <dcterms:modified xsi:type="dcterms:W3CDTF">2020-02-23T12:55:00Z</dcterms:modified>
</cp:coreProperties>
</file>