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A7B54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142DBC">
        <w:rPr>
          <w:sz w:val="20"/>
          <w:szCs w:val="20"/>
        </w:rPr>
        <w:t>И.С. Ситов</w:t>
      </w:r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1F6C55">
        <w:rPr>
          <w:b w:val="0"/>
          <w:bCs w:val="0"/>
          <w:sz w:val="20"/>
          <w:szCs w:val="20"/>
        </w:rPr>
        <w:t>0</w:t>
      </w:r>
      <w:r w:rsidR="00EF1D28">
        <w:rPr>
          <w:b w:val="0"/>
          <w:bCs w:val="0"/>
          <w:sz w:val="20"/>
          <w:szCs w:val="20"/>
        </w:rPr>
        <w:t>4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EF1D28">
        <w:rPr>
          <w:b w:val="0"/>
          <w:bCs w:val="0"/>
          <w:sz w:val="20"/>
          <w:szCs w:val="20"/>
        </w:rPr>
        <w:t>феврал</w:t>
      </w:r>
      <w:r w:rsidR="00142DBC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C01885">
        <w:rPr>
          <w:sz w:val="20"/>
          <w:szCs w:val="20"/>
        </w:rPr>
        <w:t>24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1F6C55">
        <w:rPr>
          <w:sz w:val="20"/>
          <w:szCs w:val="20"/>
        </w:rPr>
        <w:t>0</w:t>
      </w:r>
      <w:r w:rsidR="00EF1D28">
        <w:rPr>
          <w:sz w:val="20"/>
          <w:szCs w:val="20"/>
        </w:rPr>
        <w:t>4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EF1D28">
        <w:rPr>
          <w:sz w:val="20"/>
          <w:szCs w:val="20"/>
        </w:rPr>
        <w:t>февраля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</w:t>
      </w:r>
      <w:proofErr w:type="gramStart"/>
      <w:r w:rsidRPr="006A14D6">
        <w:rPr>
          <w:sz w:val="20"/>
          <w:szCs w:val="20"/>
          <w:u w:val="single"/>
        </w:rPr>
        <w:t>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</w:t>
      </w:r>
      <w:proofErr w:type="gramEnd"/>
      <w:r w:rsidRPr="006A14D6">
        <w:rPr>
          <w:sz w:val="20"/>
          <w:szCs w:val="20"/>
          <w:u w:val="single"/>
        </w:rPr>
        <w:t xml:space="preserve">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г.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>(3953) 325441, адрес электронной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чты: </w:t>
      </w:r>
      <w:hyperlink r:id="rId9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EF1D28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1F6C55">
        <w:rPr>
          <w:sz w:val="20"/>
          <w:szCs w:val="20"/>
        </w:rPr>
        <w:t>Зайцева Лариса Витальевн</w:t>
      </w:r>
      <w:r w:rsidRPr="006A14D6">
        <w:rPr>
          <w:sz w:val="20"/>
          <w:szCs w:val="20"/>
        </w:rPr>
        <w:t xml:space="preserve">, тел.: +7 (3953) </w:t>
      </w:r>
      <w:r w:rsidR="008F5B37" w:rsidRPr="006A14D6">
        <w:rPr>
          <w:sz w:val="20"/>
          <w:szCs w:val="20"/>
        </w:rPr>
        <w:t>3</w:t>
      </w:r>
      <w:r w:rsidR="00395874">
        <w:rPr>
          <w:sz w:val="20"/>
          <w:szCs w:val="20"/>
        </w:rPr>
        <w:t>25513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8F5B37" w:rsidRPr="009C3578" w:rsidRDefault="001F57C7" w:rsidP="002B4789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1F6C55">
        <w:rPr>
          <w:bCs/>
          <w:sz w:val="20"/>
          <w:szCs w:val="20"/>
        </w:rPr>
        <w:t xml:space="preserve"> </w:t>
      </w:r>
      <w:r w:rsidR="001D1414">
        <w:rPr>
          <w:bCs/>
          <w:sz w:val="20"/>
          <w:szCs w:val="20"/>
        </w:rPr>
        <w:t>для нужд ст</w:t>
      </w:r>
      <w:r w:rsidR="001D1414">
        <w:rPr>
          <w:bCs/>
          <w:sz w:val="20"/>
          <w:szCs w:val="20"/>
        </w:rPr>
        <w:t>о</w:t>
      </w:r>
      <w:r w:rsidR="001D1414">
        <w:rPr>
          <w:bCs/>
          <w:sz w:val="20"/>
          <w:szCs w:val="20"/>
        </w:rPr>
        <w:t>ловой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130A6B">
        <w:rPr>
          <w:color w:val="0D0D0D"/>
          <w:sz w:val="20"/>
          <w:szCs w:val="20"/>
        </w:rPr>
        <w:t>Код ОКПД</w:t>
      </w:r>
      <w:proofErr w:type="gramStart"/>
      <w:r w:rsidR="00130A6B">
        <w:rPr>
          <w:color w:val="0D0D0D"/>
          <w:sz w:val="20"/>
          <w:szCs w:val="20"/>
        </w:rPr>
        <w:t>2</w:t>
      </w:r>
      <w:proofErr w:type="gramEnd"/>
      <w:r w:rsidR="00130A6B">
        <w:rPr>
          <w:color w:val="0D0D0D"/>
          <w:sz w:val="20"/>
          <w:szCs w:val="20"/>
        </w:rPr>
        <w:t xml:space="preserve"> и</w:t>
      </w:r>
      <w:r w:rsidR="00130A6B" w:rsidRPr="006A14D6">
        <w:rPr>
          <w:color w:val="0D0D0D"/>
          <w:sz w:val="20"/>
          <w:szCs w:val="20"/>
        </w:rPr>
        <w:t xml:space="preserve"> код ОКВЭД2 </w:t>
      </w:r>
      <w:r w:rsidR="00C01885">
        <w:rPr>
          <w:color w:val="0D0D0D"/>
          <w:sz w:val="20"/>
          <w:szCs w:val="20"/>
        </w:rPr>
        <w:t>в п. 6.1 настоящего Извещения</w:t>
      </w:r>
      <w:r w:rsidR="00130A6B">
        <w:rPr>
          <w:color w:val="0D0D0D"/>
          <w:sz w:val="20"/>
          <w:szCs w:val="20"/>
        </w:rPr>
        <w:t>.</w:t>
      </w:r>
    </w:p>
    <w:p w:rsidR="001F57C7" w:rsidRPr="000F1C95" w:rsidRDefault="00EF1D28" w:rsidP="00EF1D28">
      <w:pPr>
        <w:tabs>
          <w:tab w:val="left" w:pos="7707"/>
        </w:tabs>
        <w:jc w:val="both"/>
        <w:rPr>
          <w:bCs/>
          <w:sz w:val="14"/>
          <w:szCs w:val="20"/>
        </w:rPr>
      </w:pPr>
      <w:r>
        <w:rPr>
          <w:bCs/>
          <w:sz w:val="14"/>
          <w:szCs w:val="20"/>
        </w:rPr>
        <w:tab/>
      </w: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1F6C55"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 w:rsidR="001F6C55">
        <w:rPr>
          <w:b/>
          <w:bCs/>
          <w:sz w:val="20"/>
          <w:szCs w:val="20"/>
        </w:rPr>
        <w:t>июня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20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</w:t>
      </w:r>
      <w:proofErr w:type="spellStart"/>
      <w:r w:rsidR="001D1414" w:rsidRPr="001D1414">
        <w:rPr>
          <w:sz w:val="20"/>
          <w:szCs w:val="20"/>
        </w:rPr>
        <w:t>БрГУ</w:t>
      </w:r>
      <w:proofErr w:type="spellEnd"/>
      <w:r w:rsidR="001D1414" w:rsidRPr="001D1414">
        <w:rPr>
          <w:sz w:val="20"/>
          <w:szCs w:val="20"/>
        </w:rPr>
        <w:t>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1266"/>
        <w:gridCol w:w="996"/>
        <w:gridCol w:w="1818"/>
        <w:gridCol w:w="4029"/>
        <w:gridCol w:w="890"/>
        <w:gridCol w:w="913"/>
      </w:tblGrid>
      <w:tr w:rsidR="00C01885" w:rsidRPr="00C01885" w:rsidTr="00C01885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626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№</w:t>
            </w:r>
          </w:p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proofErr w:type="gramStart"/>
            <w:r w:rsidRPr="00C01885">
              <w:rPr>
                <w:sz w:val="20"/>
                <w:szCs w:val="20"/>
              </w:rPr>
              <w:t>п</w:t>
            </w:r>
            <w:proofErr w:type="gramEnd"/>
            <w:r w:rsidRPr="00C01885">
              <w:rPr>
                <w:sz w:val="20"/>
                <w:szCs w:val="20"/>
              </w:rPr>
              <w:t>/п</w:t>
            </w:r>
          </w:p>
        </w:tc>
        <w:tc>
          <w:tcPr>
            <w:tcW w:w="1142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ОКПД</w:t>
            </w:r>
            <w:proofErr w:type="gramStart"/>
            <w:r w:rsidRPr="00C0188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896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ОКВЭД</w:t>
            </w:r>
            <w:proofErr w:type="gramStart"/>
            <w:r w:rsidRPr="00C0188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27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106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901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Ед. изм.</w:t>
            </w:r>
          </w:p>
        </w:tc>
        <w:tc>
          <w:tcPr>
            <w:tcW w:w="923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Кол-во</w:t>
            </w:r>
          </w:p>
        </w:tc>
      </w:tr>
      <w:tr w:rsidR="00C01885" w:rsidRPr="00C01885" w:rsidTr="00C01885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626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2</w:t>
            </w:r>
          </w:p>
        </w:tc>
        <w:tc>
          <w:tcPr>
            <w:tcW w:w="896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3</w:t>
            </w:r>
          </w:p>
        </w:tc>
        <w:tc>
          <w:tcPr>
            <w:tcW w:w="1827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4</w:t>
            </w:r>
          </w:p>
        </w:tc>
        <w:tc>
          <w:tcPr>
            <w:tcW w:w="4106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6</w:t>
            </w:r>
          </w:p>
        </w:tc>
        <w:tc>
          <w:tcPr>
            <w:tcW w:w="923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7</w:t>
            </w:r>
          </w:p>
        </w:tc>
      </w:tr>
      <w:tr w:rsidR="00C01885" w:rsidRPr="00C01885" w:rsidTr="00C01885">
        <w:tblPrEx>
          <w:tblCellMar>
            <w:top w:w="0" w:type="dxa"/>
            <w:bottom w:w="0" w:type="dxa"/>
          </w:tblCellMar>
        </w:tblPrEx>
        <w:trPr>
          <w:trHeight w:val="914"/>
          <w:jc w:val="center"/>
        </w:trPr>
        <w:tc>
          <w:tcPr>
            <w:tcW w:w="626" w:type="dxa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10.84.12.130</w:t>
            </w:r>
          </w:p>
        </w:tc>
        <w:tc>
          <w:tcPr>
            <w:tcW w:w="896" w:type="dxa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10.84</w:t>
            </w:r>
          </w:p>
        </w:tc>
        <w:tc>
          <w:tcPr>
            <w:tcW w:w="1827" w:type="dxa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Майонез</w:t>
            </w:r>
          </w:p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 xml:space="preserve">«Для салатов Провансаль» </w:t>
            </w:r>
          </w:p>
          <w:p w:rsidR="00C01885" w:rsidRPr="00C01885" w:rsidRDefault="00C01885" w:rsidP="00C01885">
            <w:pPr>
              <w:jc w:val="center"/>
              <w:rPr>
                <w:i/>
                <w:sz w:val="20"/>
                <w:szCs w:val="20"/>
              </w:rPr>
            </w:pPr>
            <w:r w:rsidRPr="00C01885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4106" w:type="dxa"/>
          </w:tcPr>
          <w:p w:rsidR="00C01885" w:rsidRPr="00C01885" w:rsidRDefault="00C01885" w:rsidP="00C01885">
            <w:pPr>
              <w:jc w:val="both"/>
              <w:rPr>
                <w:sz w:val="18"/>
                <w:szCs w:val="20"/>
              </w:rPr>
            </w:pPr>
            <w:proofErr w:type="gramStart"/>
            <w:r w:rsidRPr="00C01885">
              <w:rPr>
                <w:sz w:val="18"/>
                <w:szCs w:val="20"/>
              </w:rPr>
              <w:t>Приправа – майонез высококалорийный, жи</w:t>
            </w:r>
            <w:r w:rsidRPr="00C01885">
              <w:rPr>
                <w:sz w:val="18"/>
                <w:szCs w:val="20"/>
              </w:rPr>
              <w:t>р</w:t>
            </w:r>
            <w:r w:rsidRPr="00C01885">
              <w:rPr>
                <w:sz w:val="18"/>
                <w:szCs w:val="20"/>
              </w:rPr>
              <w:t>ность – не менее 67%. Состав: масло растител</w:t>
            </w:r>
            <w:r w:rsidRPr="00C01885">
              <w:rPr>
                <w:sz w:val="18"/>
                <w:szCs w:val="20"/>
              </w:rPr>
              <w:t>ь</w:t>
            </w:r>
            <w:r w:rsidRPr="00C01885">
              <w:rPr>
                <w:sz w:val="18"/>
                <w:szCs w:val="20"/>
              </w:rPr>
              <w:t>ное рафинированное дезодорир</w:t>
            </w:r>
            <w:r w:rsidRPr="00C01885">
              <w:rPr>
                <w:sz w:val="18"/>
                <w:szCs w:val="20"/>
              </w:rPr>
              <w:t>о</w:t>
            </w:r>
            <w:r w:rsidRPr="00C01885">
              <w:rPr>
                <w:sz w:val="18"/>
                <w:szCs w:val="20"/>
              </w:rPr>
              <w:t>ванное, вода, яичный желток, горчичный порошок, сахар, соль, уксусная кислота, стабилизатор.</w:t>
            </w:r>
            <w:proofErr w:type="gramEnd"/>
            <w:r w:rsidRPr="00C01885">
              <w:rPr>
                <w:sz w:val="18"/>
                <w:szCs w:val="20"/>
              </w:rPr>
              <w:t xml:space="preserve"> Не до</w:t>
            </w:r>
            <w:r w:rsidRPr="00C01885">
              <w:rPr>
                <w:sz w:val="18"/>
                <w:szCs w:val="20"/>
              </w:rPr>
              <w:t>л</w:t>
            </w:r>
            <w:r w:rsidRPr="00C01885">
              <w:rPr>
                <w:sz w:val="18"/>
                <w:szCs w:val="20"/>
              </w:rPr>
              <w:t>жен содержать химических консервантов, кр</w:t>
            </w:r>
            <w:r w:rsidRPr="00C01885">
              <w:rPr>
                <w:sz w:val="18"/>
                <w:szCs w:val="20"/>
              </w:rPr>
              <w:t>а</w:t>
            </w:r>
            <w:r w:rsidRPr="00C01885">
              <w:rPr>
                <w:sz w:val="18"/>
                <w:szCs w:val="20"/>
              </w:rPr>
              <w:t>сителей и иску</w:t>
            </w:r>
            <w:r w:rsidRPr="00C01885">
              <w:rPr>
                <w:sz w:val="18"/>
                <w:szCs w:val="20"/>
              </w:rPr>
              <w:t>с</w:t>
            </w:r>
            <w:r w:rsidRPr="00C01885">
              <w:rPr>
                <w:sz w:val="18"/>
                <w:szCs w:val="20"/>
              </w:rPr>
              <w:t>ственных пищевых добавок.</w:t>
            </w:r>
          </w:p>
          <w:p w:rsidR="00C01885" w:rsidRPr="00C01885" w:rsidRDefault="00C01885" w:rsidP="00C01885">
            <w:pPr>
              <w:rPr>
                <w:sz w:val="18"/>
                <w:szCs w:val="20"/>
              </w:rPr>
            </w:pPr>
            <w:r w:rsidRPr="00C01885">
              <w:rPr>
                <w:sz w:val="18"/>
                <w:szCs w:val="20"/>
              </w:rPr>
              <w:t>Упаковка - полиэтиленовое ведро, массой 3 кг.</w:t>
            </w:r>
          </w:p>
          <w:p w:rsidR="00C01885" w:rsidRPr="00C01885" w:rsidRDefault="00C01885" w:rsidP="00C01885">
            <w:pPr>
              <w:keepNext/>
              <w:shd w:val="clear" w:color="auto" w:fill="FFFFFF"/>
              <w:outlineLvl w:val="0"/>
              <w:rPr>
                <w:b/>
                <w:kern w:val="28"/>
                <w:sz w:val="18"/>
                <w:szCs w:val="20"/>
              </w:rPr>
            </w:pPr>
            <w:r w:rsidRPr="00C01885">
              <w:rPr>
                <w:sz w:val="18"/>
                <w:szCs w:val="20"/>
              </w:rPr>
              <w:t>Соответствие СанПиН 2.3.2 1078-01, ГОСТ 31761-2012</w:t>
            </w:r>
          </w:p>
        </w:tc>
        <w:tc>
          <w:tcPr>
            <w:tcW w:w="901" w:type="dxa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шт.</w:t>
            </w:r>
          </w:p>
        </w:tc>
        <w:tc>
          <w:tcPr>
            <w:tcW w:w="923" w:type="dxa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200</w:t>
            </w:r>
          </w:p>
        </w:tc>
      </w:tr>
      <w:tr w:rsidR="00C01885" w:rsidRPr="00C01885" w:rsidTr="00C01885">
        <w:tblPrEx>
          <w:tblCellMar>
            <w:top w:w="0" w:type="dxa"/>
            <w:bottom w:w="0" w:type="dxa"/>
          </w:tblCellMar>
        </w:tblPrEx>
        <w:trPr>
          <w:trHeight w:val="914"/>
          <w:jc w:val="center"/>
        </w:trPr>
        <w:tc>
          <w:tcPr>
            <w:tcW w:w="626" w:type="dxa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shd w:val="clear" w:color="auto" w:fill="auto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10.84.12.120</w:t>
            </w:r>
          </w:p>
        </w:tc>
        <w:tc>
          <w:tcPr>
            <w:tcW w:w="896" w:type="dxa"/>
            <w:shd w:val="clear" w:color="auto" w:fill="auto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10.84</w:t>
            </w:r>
          </w:p>
        </w:tc>
        <w:tc>
          <w:tcPr>
            <w:tcW w:w="1827" w:type="dxa"/>
            <w:shd w:val="clear" w:color="auto" w:fill="auto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Приправа соус – кетчуп</w:t>
            </w:r>
          </w:p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«Шашлычный»</w:t>
            </w:r>
          </w:p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4106" w:type="dxa"/>
            <w:shd w:val="clear" w:color="auto" w:fill="auto"/>
          </w:tcPr>
          <w:p w:rsidR="00C01885" w:rsidRPr="00C01885" w:rsidRDefault="00C01885" w:rsidP="00C01885">
            <w:pPr>
              <w:jc w:val="both"/>
              <w:rPr>
                <w:sz w:val="18"/>
                <w:szCs w:val="20"/>
              </w:rPr>
            </w:pPr>
            <w:r w:rsidRPr="00C01885">
              <w:rPr>
                <w:sz w:val="18"/>
                <w:szCs w:val="20"/>
              </w:rPr>
              <w:t>Приправа – умеренно острый томатный с</w:t>
            </w:r>
            <w:r w:rsidRPr="00C01885">
              <w:rPr>
                <w:sz w:val="18"/>
                <w:szCs w:val="20"/>
              </w:rPr>
              <w:t>о</w:t>
            </w:r>
            <w:r w:rsidRPr="00C01885">
              <w:rPr>
                <w:sz w:val="18"/>
                <w:szCs w:val="20"/>
              </w:rPr>
              <w:t>ус-кетчуп с красным и черным перцем, ароматом лука и чеснока. Состав: томатная паста, крахмал кукурузный, соль, сахар, уксусная кислота, ст</w:t>
            </w:r>
            <w:r w:rsidRPr="00C01885">
              <w:rPr>
                <w:sz w:val="18"/>
                <w:szCs w:val="20"/>
              </w:rPr>
              <w:t>а</w:t>
            </w:r>
            <w:r w:rsidRPr="00C01885">
              <w:rPr>
                <w:sz w:val="18"/>
                <w:szCs w:val="20"/>
              </w:rPr>
              <w:t>билизатор. Не должен содержать химических консервантов, красителей и искусственных п</w:t>
            </w:r>
            <w:r w:rsidRPr="00C01885">
              <w:rPr>
                <w:sz w:val="18"/>
                <w:szCs w:val="20"/>
              </w:rPr>
              <w:t>и</w:t>
            </w:r>
            <w:r w:rsidRPr="00C01885">
              <w:rPr>
                <w:sz w:val="18"/>
                <w:szCs w:val="20"/>
              </w:rPr>
              <w:t>щевых доб</w:t>
            </w:r>
            <w:r w:rsidRPr="00C01885">
              <w:rPr>
                <w:sz w:val="18"/>
                <w:szCs w:val="20"/>
              </w:rPr>
              <w:t>а</w:t>
            </w:r>
            <w:r w:rsidRPr="00C01885">
              <w:rPr>
                <w:sz w:val="18"/>
                <w:szCs w:val="20"/>
              </w:rPr>
              <w:t>вок.</w:t>
            </w:r>
          </w:p>
          <w:p w:rsidR="00C01885" w:rsidRPr="00C01885" w:rsidRDefault="00C01885" w:rsidP="00C01885">
            <w:pPr>
              <w:jc w:val="both"/>
              <w:rPr>
                <w:sz w:val="18"/>
                <w:szCs w:val="20"/>
              </w:rPr>
            </w:pPr>
            <w:r w:rsidRPr="00C01885">
              <w:rPr>
                <w:sz w:val="18"/>
                <w:szCs w:val="20"/>
              </w:rPr>
              <w:t>Упаковка - полиэтиленовая бутылка ма</w:t>
            </w:r>
            <w:r w:rsidRPr="00C01885">
              <w:rPr>
                <w:sz w:val="18"/>
                <w:szCs w:val="20"/>
              </w:rPr>
              <w:t>с</w:t>
            </w:r>
            <w:r w:rsidRPr="00C01885">
              <w:rPr>
                <w:sz w:val="18"/>
                <w:szCs w:val="20"/>
              </w:rPr>
              <w:t>сой 0,9 кг.</w:t>
            </w:r>
          </w:p>
          <w:p w:rsidR="00C01885" w:rsidRPr="00C01885" w:rsidRDefault="00C01885" w:rsidP="00C01885">
            <w:pPr>
              <w:keepNext/>
              <w:shd w:val="clear" w:color="auto" w:fill="FFFFFF"/>
              <w:outlineLvl w:val="1"/>
              <w:rPr>
                <w:sz w:val="18"/>
                <w:szCs w:val="20"/>
              </w:rPr>
            </w:pPr>
            <w:r w:rsidRPr="00C01885">
              <w:rPr>
                <w:sz w:val="18"/>
                <w:szCs w:val="20"/>
              </w:rPr>
              <w:t>Соответствие ГОСТ 32063-2013 или ТУ прои</w:t>
            </w:r>
            <w:r w:rsidRPr="00C01885">
              <w:rPr>
                <w:sz w:val="18"/>
                <w:szCs w:val="20"/>
              </w:rPr>
              <w:t>з</w:t>
            </w:r>
            <w:r w:rsidRPr="00C01885">
              <w:rPr>
                <w:sz w:val="18"/>
                <w:szCs w:val="20"/>
              </w:rPr>
              <w:t>водителя</w:t>
            </w:r>
          </w:p>
        </w:tc>
        <w:tc>
          <w:tcPr>
            <w:tcW w:w="901" w:type="dxa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23" w:type="dxa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C01885" w:rsidRPr="00C01885" w:rsidTr="00C01885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626" w:type="dxa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2" w:type="dxa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10.42.10.111</w:t>
            </w:r>
          </w:p>
        </w:tc>
        <w:tc>
          <w:tcPr>
            <w:tcW w:w="896" w:type="dxa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10.42</w:t>
            </w:r>
          </w:p>
        </w:tc>
        <w:tc>
          <w:tcPr>
            <w:tcW w:w="1827" w:type="dxa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Маргарин мон</w:t>
            </w:r>
            <w:r w:rsidRPr="00C01885">
              <w:rPr>
                <w:sz w:val="20"/>
                <w:szCs w:val="20"/>
              </w:rPr>
              <w:t>о</w:t>
            </w:r>
            <w:r w:rsidRPr="00C01885">
              <w:rPr>
                <w:sz w:val="20"/>
                <w:szCs w:val="20"/>
              </w:rPr>
              <w:t>лит «Столовый»</w:t>
            </w:r>
          </w:p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4106" w:type="dxa"/>
          </w:tcPr>
          <w:p w:rsidR="00C01885" w:rsidRPr="00C01885" w:rsidRDefault="00C01885" w:rsidP="00C01885">
            <w:pPr>
              <w:jc w:val="both"/>
              <w:rPr>
                <w:sz w:val="18"/>
                <w:szCs w:val="20"/>
              </w:rPr>
            </w:pPr>
            <w:r w:rsidRPr="00C01885">
              <w:rPr>
                <w:sz w:val="18"/>
                <w:szCs w:val="20"/>
              </w:rPr>
              <w:t>Маргарин – столовый молочный монолит, пищ</w:t>
            </w:r>
            <w:r w:rsidRPr="00C01885">
              <w:rPr>
                <w:sz w:val="18"/>
                <w:szCs w:val="20"/>
              </w:rPr>
              <w:t>е</w:t>
            </w:r>
            <w:r w:rsidRPr="00C01885">
              <w:rPr>
                <w:sz w:val="18"/>
                <w:szCs w:val="20"/>
              </w:rPr>
              <w:t>вая ценность на 100 гр. продукта, доля жира – не менее 82 гр.</w:t>
            </w:r>
          </w:p>
          <w:p w:rsidR="00C01885" w:rsidRPr="00C01885" w:rsidRDefault="00C01885" w:rsidP="00C01885">
            <w:pPr>
              <w:jc w:val="both"/>
              <w:rPr>
                <w:sz w:val="18"/>
                <w:szCs w:val="20"/>
              </w:rPr>
            </w:pPr>
            <w:r w:rsidRPr="00C01885">
              <w:rPr>
                <w:sz w:val="18"/>
                <w:szCs w:val="20"/>
              </w:rPr>
              <w:t>Вкус и запах: молочные или молочноки</w:t>
            </w:r>
            <w:r w:rsidRPr="00C01885">
              <w:rPr>
                <w:sz w:val="18"/>
                <w:szCs w:val="20"/>
              </w:rPr>
              <w:t>с</w:t>
            </w:r>
            <w:r w:rsidRPr="00C01885">
              <w:rPr>
                <w:sz w:val="18"/>
                <w:szCs w:val="20"/>
              </w:rPr>
              <w:t>лые со сливочным оттенком. Не должен содержать п</w:t>
            </w:r>
            <w:r w:rsidRPr="00C01885">
              <w:rPr>
                <w:sz w:val="18"/>
                <w:szCs w:val="20"/>
              </w:rPr>
              <w:t>о</w:t>
            </w:r>
            <w:r w:rsidRPr="00C01885">
              <w:rPr>
                <w:sz w:val="18"/>
                <w:szCs w:val="20"/>
              </w:rPr>
              <w:t>сторонних привкусов и зап</w:t>
            </w:r>
            <w:r w:rsidRPr="00C01885">
              <w:rPr>
                <w:sz w:val="18"/>
                <w:szCs w:val="20"/>
              </w:rPr>
              <w:t>а</w:t>
            </w:r>
            <w:r w:rsidRPr="00C01885">
              <w:rPr>
                <w:sz w:val="18"/>
                <w:szCs w:val="20"/>
              </w:rPr>
              <w:t xml:space="preserve">хов. </w:t>
            </w:r>
            <w:proofErr w:type="gramStart"/>
            <w:r w:rsidRPr="00C01885">
              <w:rPr>
                <w:sz w:val="18"/>
                <w:szCs w:val="20"/>
              </w:rPr>
              <w:t>Цвет продукта должен быть: от светло-желтого до желтого, о</w:t>
            </w:r>
            <w:r w:rsidRPr="00C01885">
              <w:rPr>
                <w:sz w:val="18"/>
                <w:szCs w:val="20"/>
              </w:rPr>
              <w:t>д</w:t>
            </w:r>
            <w:r w:rsidRPr="00C01885">
              <w:rPr>
                <w:sz w:val="18"/>
                <w:szCs w:val="20"/>
              </w:rPr>
              <w:t>нородный по всей массе продукта.</w:t>
            </w:r>
            <w:proofErr w:type="gramEnd"/>
          </w:p>
          <w:p w:rsidR="00C01885" w:rsidRPr="00C01885" w:rsidRDefault="00C01885" w:rsidP="00C01885">
            <w:pPr>
              <w:jc w:val="both"/>
              <w:rPr>
                <w:sz w:val="18"/>
                <w:szCs w:val="20"/>
              </w:rPr>
            </w:pPr>
            <w:r w:rsidRPr="00C01885">
              <w:rPr>
                <w:sz w:val="18"/>
                <w:szCs w:val="20"/>
              </w:rPr>
              <w:t xml:space="preserve">Упаковка – картонная коробка, монолит массой </w:t>
            </w:r>
            <w:r w:rsidRPr="00C01885">
              <w:rPr>
                <w:sz w:val="18"/>
                <w:szCs w:val="20"/>
              </w:rPr>
              <w:lastRenderedPageBreak/>
              <w:t>не менее 20 кг.</w:t>
            </w:r>
          </w:p>
          <w:p w:rsidR="00C01885" w:rsidRPr="00C01885" w:rsidRDefault="00C01885" w:rsidP="00C01885">
            <w:pPr>
              <w:rPr>
                <w:sz w:val="18"/>
                <w:szCs w:val="20"/>
              </w:rPr>
            </w:pPr>
            <w:r w:rsidRPr="00C01885">
              <w:rPr>
                <w:sz w:val="18"/>
                <w:szCs w:val="20"/>
              </w:rPr>
              <w:t>Соответствие СанПиН 2.3.2 1078-01, ГОСТ 32188-2013</w:t>
            </w:r>
          </w:p>
        </w:tc>
        <w:tc>
          <w:tcPr>
            <w:tcW w:w="901" w:type="dxa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923" w:type="dxa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</w:tbl>
    <w:p w:rsidR="00C84BBE" w:rsidRDefault="00C84BB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C84BBE" w:rsidRPr="008A4E15" w:rsidRDefault="00C84BBE" w:rsidP="00C84BBE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Pr="008A4E15">
        <w:rPr>
          <w:sz w:val="20"/>
          <w:szCs w:val="20"/>
        </w:rPr>
        <w:t xml:space="preserve"> и СанПиН 2.3.2.1078-01;</w:t>
      </w:r>
    </w:p>
    <w:p w:rsidR="00C84BBE" w:rsidRPr="009B50F8" w:rsidRDefault="00C84BBE" w:rsidP="00C84BBE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C84BBE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C84BBE" w:rsidRPr="009B50F8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б</w:t>
      </w:r>
      <w:r w:rsidRPr="00335F13">
        <w:rPr>
          <w:sz w:val="20"/>
        </w:rPr>
        <w:t xml:space="preserve">) </w:t>
      </w:r>
      <w:r w:rsidRPr="009B50F8">
        <w:rPr>
          <w:sz w:val="20"/>
        </w:rPr>
        <w:t>санитарно-эпидемиологическое заключение (или Свидетельство о государственной регистрации);</w:t>
      </w:r>
    </w:p>
    <w:p w:rsidR="00C84BBE" w:rsidRPr="009B50F8" w:rsidRDefault="00C84BBE" w:rsidP="00C84BBE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3D41D6" w:rsidRDefault="00C84BBE" w:rsidP="00C84BBE">
      <w:pPr>
        <w:jc w:val="both"/>
        <w:rPr>
          <w:noProof/>
          <w:sz w:val="20"/>
        </w:rPr>
      </w:pPr>
      <w:r w:rsidRPr="009B50F8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производителем.</w:t>
      </w:r>
    </w:p>
    <w:p w:rsidR="00C84BBE" w:rsidRDefault="00C84BBE" w:rsidP="00C84BBE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C01885">
        <w:rPr>
          <w:b/>
          <w:color w:val="FF0000"/>
          <w:sz w:val="20"/>
          <w:szCs w:val="20"/>
        </w:rPr>
        <w:t>84 651,40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3E5A39">
        <w:rPr>
          <w:b/>
          <w:color w:val="FF0000"/>
          <w:sz w:val="20"/>
          <w:szCs w:val="20"/>
        </w:rPr>
        <w:t>ь</w:t>
      </w:r>
      <w:r w:rsidRPr="00AC62C7">
        <w:rPr>
          <w:sz w:val="20"/>
          <w:szCs w:val="20"/>
        </w:rPr>
        <w:t xml:space="preserve"> (</w:t>
      </w:r>
      <w:r w:rsidR="003E5A39">
        <w:rPr>
          <w:i/>
          <w:sz w:val="20"/>
          <w:szCs w:val="20"/>
        </w:rPr>
        <w:t>восемь</w:t>
      </w:r>
      <w:r w:rsidR="00EF1D28">
        <w:rPr>
          <w:i/>
          <w:sz w:val="20"/>
          <w:szCs w:val="20"/>
        </w:rPr>
        <w:t>десят</w:t>
      </w:r>
      <w:r w:rsidR="005162C7">
        <w:rPr>
          <w:i/>
          <w:sz w:val="20"/>
          <w:szCs w:val="20"/>
        </w:rPr>
        <w:t xml:space="preserve"> </w:t>
      </w:r>
      <w:r w:rsidR="003E5A39">
        <w:rPr>
          <w:i/>
          <w:sz w:val="20"/>
          <w:szCs w:val="20"/>
        </w:rPr>
        <w:t xml:space="preserve">четыре </w:t>
      </w:r>
      <w:r w:rsidR="005162C7">
        <w:rPr>
          <w:i/>
          <w:sz w:val="20"/>
          <w:szCs w:val="20"/>
        </w:rPr>
        <w:t xml:space="preserve">тысячи </w:t>
      </w:r>
      <w:r w:rsidR="003E5A39">
        <w:rPr>
          <w:i/>
          <w:sz w:val="20"/>
          <w:szCs w:val="20"/>
        </w:rPr>
        <w:t>шестьсот пятьдесят один</w:t>
      </w:r>
      <w:r w:rsidR="005162C7">
        <w:rPr>
          <w:i/>
          <w:sz w:val="20"/>
          <w:szCs w:val="20"/>
        </w:rPr>
        <w:t xml:space="preserve"> </w:t>
      </w:r>
      <w:r w:rsidR="00EF1D28">
        <w:rPr>
          <w:i/>
          <w:sz w:val="20"/>
          <w:szCs w:val="20"/>
        </w:rPr>
        <w:t>рубл</w:t>
      </w:r>
      <w:r w:rsidR="003E5A39">
        <w:rPr>
          <w:i/>
          <w:sz w:val="20"/>
          <w:szCs w:val="20"/>
        </w:rPr>
        <w:t>ь 40</w:t>
      </w:r>
      <w:r w:rsidR="006834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к</w:t>
      </w:r>
      <w:r w:rsidRPr="00AC62C7">
        <w:rPr>
          <w:i/>
          <w:sz w:val="20"/>
          <w:szCs w:val="20"/>
        </w:rPr>
        <w:t>о</w:t>
      </w:r>
      <w:r w:rsidRPr="00AC62C7">
        <w:rPr>
          <w:i/>
          <w:sz w:val="20"/>
          <w:szCs w:val="20"/>
        </w:rPr>
        <w:t>пе</w:t>
      </w:r>
      <w:r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FC39FC" w:rsidRDefault="00FC39FC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</w:p>
    <w:p w:rsidR="00C84BBE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1350"/>
        <w:gridCol w:w="1599"/>
        <w:gridCol w:w="2066"/>
        <w:gridCol w:w="2607"/>
      </w:tblGrid>
      <w:tr w:rsidR="00C84BBE" w:rsidRPr="008A4E15" w:rsidTr="00C84BBE">
        <w:trPr>
          <w:trHeight w:val="257"/>
        </w:trPr>
        <w:tc>
          <w:tcPr>
            <w:tcW w:w="2802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Ед. изм.</w:t>
            </w:r>
          </w:p>
        </w:tc>
        <w:tc>
          <w:tcPr>
            <w:tcW w:w="1599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3E5A39" w:rsidRPr="008A4E15" w:rsidTr="00691C1E">
        <w:trPr>
          <w:trHeight w:val="257"/>
        </w:trPr>
        <w:tc>
          <w:tcPr>
            <w:tcW w:w="2802" w:type="dxa"/>
            <w:vAlign w:val="center"/>
          </w:tcPr>
          <w:p w:rsidR="003E5A39" w:rsidRPr="0030404F" w:rsidRDefault="003E5A39" w:rsidP="00A52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Майонез</w:t>
            </w:r>
          </w:p>
        </w:tc>
        <w:tc>
          <w:tcPr>
            <w:tcW w:w="1350" w:type="dxa"/>
          </w:tcPr>
          <w:p w:rsidR="003E5A39" w:rsidRPr="00C01885" w:rsidRDefault="003E5A39" w:rsidP="008A09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</w:tcPr>
          <w:p w:rsidR="003E5A39" w:rsidRPr="00C01885" w:rsidRDefault="003E5A39" w:rsidP="008A09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200</w:t>
            </w:r>
          </w:p>
        </w:tc>
        <w:tc>
          <w:tcPr>
            <w:tcW w:w="2066" w:type="dxa"/>
            <w:vAlign w:val="center"/>
          </w:tcPr>
          <w:p w:rsidR="003E5A39" w:rsidRPr="00A52317" w:rsidRDefault="003E5A39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336,60</w:t>
            </w:r>
          </w:p>
        </w:tc>
        <w:tc>
          <w:tcPr>
            <w:tcW w:w="2607" w:type="dxa"/>
            <w:vAlign w:val="center"/>
          </w:tcPr>
          <w:p w:rsidR="003E5A39" w:rsidRPr="005162C7" w:rsidRDefault="003E5A39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67 320,00</w:t>
            </w:r>
          </w:p>
        </w:tc>
      </w:tr>
      <w:tr w:rsidR="003E5A39" w:rsidRPr="008A4E15" w:rsidTr="00691C1E">
        <w:trPr>
          <w:trHeight w:val="257"/>
        </w:trPr>
        <w:tc>
          <w:tcPr>
            <w:tcW w:w="2802" w:type="dxa"/>
            <w:vAlign w:val="center"/>
          </w:tcPr>
          <w:p w:rsidR="003E5A39" w:rsidRDefault="003E5A39" w:rsidP="00A52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Приправа соус-кетчуп</w:t>
            </w:r>
          </w:p>
        </w:tc>
        <w:tc>
          <w:tcPr>
            <w:tcW w:w="1350" w:type="dxa"/>
          </w:tcPr>
          <w:p w:rsidR="003E5A39" w:rsidRPr="00C01885" w:rsidRDefault="003E5A39" w:rsidP="008A0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</w:tcPr>
          <w:p w:rsidR="003E5A39" w:rsidRPr="00C01885" w:rsidRDefault="003E5A39" w:rsidP="008A0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066" w:type="dxa"/>
            <w:vAlign w:val="center"/>
          </w:tcPr>
          <w:p w:rsidR="003E5A39" w:rsidRDefault="003E5A39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62,00</w:t>
            </w:r>
          </w:p>
        </w:tc>
        <w:tc>
          <w:tcPr>
            <w:tcW w:w="2607" w:type="dxa"/>
            <w:vAlign w:val="center"/>
          </w:tcPr>
          <w:p w:rsidR="003E5A39" w:rsidRDefault="003E5A39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4 464,00</w:t>
            </w:r>
          </w:p>
        </w:tc>
      </w:tr>
      <w:tr w:rsidR="003E5A39" w:rsidRPr="008A4E15" w:rsidTr="00691C1E">
        <w:trPr>
          <w:trHeight w:val="257"/>
        </w:trPr>
        <w:tc>
          <w:tcPr>
            <w:tcW w:w="2802" w:type="dxa"/>
            <w:vAlign w:val="center"/>
          </w:tcPr>
          <w:p w:rsidR="003E5A39" w:rsidRDefault="003E5A39" w:rsidP="00A52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Маргарин</w:t>
            </w:r>
            <w:proofErr w:type="gramStart"/>
            <w:r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1350" w:type="dxa"/>
          </w:tcPr>
          <w:p w:rsidR="003E5A39" w:rsidRPr="00C01885" w:rsidRDefault="003E5A39" w:rsidP="008A09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3E5A39" w:rsidRPr="00C01885" w:rsidRDefault="003E5A39" w:rsidP="008A0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066" w:type="dxa"/>
            <w:vAlign w:val="center"/>
          </w:tcPr>
          <w:p w:rsidR="003E5A39" w:rsidRDefault="003E5A39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91,91</w:t>
            </w:r>
          </w:p>
        </w:tc>
        <w:tc>
          <w:tcPr>
            <w:tcW w:w="2607" w:type="dxa"/>
            <w:vAlign w:val="center"/>
          </w:tcPr>
          <w:p w:rsidR="003E5A39" w:rsidRDefault="003E5A39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12 867,40</w:t>
            </w:r>
          </w:p>
        </w:tc>
      </w:tr>
      <w:tr w:rsidR="00C71E3A" w:rsidRPr="008A4E15" w:rsidTr="00A52317">
        <w:trPr>
          <w:trHeight w:val="257"/>
        </w:trPr>
        <w:tc>
          <w:tcPr>
            <w:tcW w:w="7817" w:type="dxa"/>
            <w:gridSpan w:val="4"/>
            <w:vAlign w:val="center"/>
          </w:tcPr>
          <w:p w:rsidR="00C71E3A" w:rsidRDefault="00C71E3A" w:rsidP="00A523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C71E3A" w:rsidRDefault="003E5A39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84 651,40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роне одного участника закупки, независимо от организационно-правовой формы, формы собственности, места нахо</w:t>
      </w:r>
      <w:r w:rsidR="00924AB8" w:rsidRPr="006A14D6">
        <w:rPr>
          <w:sz w:val="20"/>
          <w:szCs w:val="20"/>
        </w:rPr>
        <w:t>ж</w:t>
      </w:r>
      <w:r w:rsidR="00924AB8" w:rsidRPr="006A14D6">
        <w:rPr>
          <w:sz w:val="20"/>
          <w:szCs w:val="20"/>
        </w:rPr>
        <w:t>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 xml:space="preserve">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питале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</w:t>
      </w:r>
      <w:r w:rsidR="00924AB8" w:rsidRPr="006A14D6">
        <w:rPr>
          <w:sz w:val="20"/>
          <w:szCs w:val="20"/>
        </w:rPr>
        <w:t>и</w:t>
      </w:r>
      <w:r w:rsidR="00924AB8" w:rsidRPr="006A14D6">
        <w:rPr>
          <w:sz w:val="20"/>
          <w:szCs w:val="20"/>
        </w:rPr>
        <w:t>стем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</w:t>
      </w:r>
      <w:r w:rsidRPr="006A14D6">
        <w:rPr>
          <w:i/>
          <w:color w:val="FF0000"/>
          <w:sz w:val="20"/>
          <w:szCs w:val="20"/>
        </w:rPr>
        <w:t>у</w:t>
      </w:r>
      <w:r w:rsidRPr="006A14D6">
        <w:rPr>
          <w:i/>
          <w:color w:val="FF0000"/>
          <w:sz w:val="20"/>
          <w:szCs w:val="20"/>
        </w:rPr>
        <w:t>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тельства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поставл</w:t>
      </w:r>
      <w:r w:rsidR="00D876F1" w:rsidRPr="006A14D6">
        <w:rPr>
          <w:sz w:val="20"/>
          <w:szCs w:val="20"/>
        </w:rPr>
        <w:t>я</w:t>
      </w:r>
      <w:r w:rsidR="00D876F1" w:rsidRPr="006A14D6">
        <w:rPr>
          <w:sz w:val="20"/>
          <w:szCs w:val="20"/>
        </w:rPr>
        <w:t xml:space="preserve">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рассматр</w:t>
      </w:r>
      <w:r w:rsidR="00D876F1" w:rsidRPr="006A14D6">
        <w:rPr>
          <w:sz w:val="20"/>
          <w:szCs w:val="20"/>
        </w:rPr>
        <w:t>и</w:t>
      </w:r>
      <w:r w:rsidR="00D876F1" w:rsidRPr="006A14D6">
        <w:rPr>
          <w:sz w:val="20"/>
          <w:szCs w:val="20"/>
        </w:rPr>
        <w:t>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lastRenderedPageBreak/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ству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FC39FC" w:rsidRDefault="00FC39FC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</w:p>
    <w:p w:rsidR="00FC39FC" w:rsidRPr="006A14D6" w:rsidRDefault="00FC39FC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>Содержание заявки</w:t>
      </w:r>
      <w:r w:rsidR="00612523">
        <w:rPr>
          <w:b/>
          <w:sz w:val="20"/>
          <w:szCs w:val="20"/>
          <w:u w:val="single"/>
        </w:rPr>
        <w:t xml:space="preserve"> на участие в запросе котировок</w:t>
      </w:r>
      <w:r w:rsidRPr="006A14D6">
        <w:rPr>
          <w:b/>
          <w:sz w:val="20"/>
          <w:szCs w:val="20"/>
          <w:u w:val="single"/>
        </w:rPr>
        <w:t xml:space="preserve">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 о проведении запроса котировок;</w:t>
      </w:r>
    </w:p>
    <w:p w:rsidR="002C2944" w:rsidRPr="006A14D6" w:rsidRDefault="002C2944" w:rsidP="00352B01">
      <w:pPr>
        <w:tabs>
          <w:tab w:val="left" w:pos="1134"/>
        </w:tabs>
        <w:jc w:val="both"/>
        <w:rPr>
          <w:sz w:val="20"/>
          <w:szCs w:val="20"/>
        </w:rPr>
      </w:pP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</w:t>
      </w:r>
      <w:r w:rsidR="00612523">
        <w:rPr>
          <w:sz w:val="20"/>
          <w:szCs w:val="20"/>
        </w:rPr>
        <w:t>существлением запроса котировок</w:t>
      </w:r>
      <w:r w:rsidRPr="006A14D6">
        <w:rPr>
          <w:sz w:val="20"/>
          <w:szCs w:val="20"/>
        </w:rPr>
        <w:t>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</w:t>
      </w:r>
      <w:r w:rsidR="00612523">
        <w:rPr>
          <w:sz w:val="20"/>
          <w:szCs w:val="20"/>
        </w:rPr>
        <w:t>о проведении запроса котировок</w:t>
      </w:r>
      <w:r w:rsidRPr="006A14D6">
        <w:rPr>
          <w:sz w:val="20"/>
          <w:szCs w:val="20"/>
        </w:rPr>
        <w:t>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52B01" w:rsidP="00352B01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lastRenderedPageBreak/>
        <w:t>Участник запроса котировок,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05002" w:rsidRPr="006A14D6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EF1D28">
        <w:rPr>
          <w:b/>
          <w:sz w:val="20"/>
          <w:szCs w:val="20"/>
        </w:rPr>
        <w:t>05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08:00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EF1D28">
        <w:rPr>
          <w:b/>
          <w:sz w:val="20"/>
          <w:szCs w:val="20"/>
        </w:rPr>
        <w:t>12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pStyle w:val="af1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EF1D28">
        <w:rPr>
          <w:b/>
          <w:sz w:val="20"/>
          <w:szCs w:val="20"/>
        </w:rPr>
        <w:t>05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EF1D28">
        <w:rPr>
          <w:b/>
          <w:sz w:val="20"/>
          <w:szCs w:val="20"/>
        </w:rPr>
        <w:t>09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 на участие в запр</w:t>
      </w:r>
      <w:r>
        <w:rPr>
          <w:sz w:val="20"/>
          <w:szCs w:val="20"/>
        </w:rPr>
        <w:t>осе котировок</w:t>
      </w:r>
      <w:r w:rsidRPr="006A14D6">
        <w:rPr>
          <w:sz w:val="20"/>
          <w:szCs w:val="20"/>
        </w:rPr>
        <w:t>.</w:t>
      </w:r>
    </w:p>
    <w:p w:rsidR="00705002" w:rsidRPr="00705002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ind w:left="0" w:firstLine="0"/>
        <w:jc w:val="both"/>
        <w:rPr>
          <w:b/>
          <w:sz w:val="20"/>
          <w:szCs w:val="20"/>
        </w:rPr>
      </w:pPr>
      <w:r w:rsidRPr="00705002">
        <w:rPr>
          <w:b/>
          <w:sz w:val="20"/>
          <w:szCs w:val="20"/>
        </w:rPr>
        <w:t xml:space="preserve">Место и дата рассмотрения заявок: </w:t>
      </w:r>
      <w:r w:rsidRPr="00705002">
        <w:rPr>
          <w:sz w:val="20"/>
          <w:szCs w:val="20"/>
        </w:rPr>
        <w:t>665709, Иркутская обл., г. Братск, жилой район Энергетик,</w:t>
      </w:r>
      <w:r w:rsidRPr="00705002">
        <w:rPr>
          <w:sz w:val="20"/>
          <w:szCs w:val="20"/>
        </w:rPr>
        <w:br/>
        <w:t xml:space="preserve">ул. Погодаева, д. 5, </w:t>
      </w:r>
      <w:proofErr w:type="spellStart"/>
      <w:r w:rsidRPr="00705002">
        <w:rPr>
          <w:sz w:val="20"/>
          <w:szCs w:val="20"/>
        </w:rPr>
        <w:t>каб</w:t>
      </w:r>
      <w:proofErr w:type="spellEnd"/>
      <w:r w:rsidRPr="00705002">
        <w:rPr>
          <w:sz w:val="20"/>
          <w:szCs w:val="20"/>
        </w:rPr>
        <w:t xml:space="preserve">. 3119, </w:t>
      </w:r>
      <w:r w:rsidRPr="00705002">
        <w:rPr>
          <w:b/>
          <w:sz w:val="20"/>
          <w:szCs w:val="20"/>
        </w:rPr>
        <w:t>«</w:t>
      </w:r>
      <w:r w:rsidR="00EF1D28">
        <w:rPr>
          <w:b/>
          <w:sz w:val="20"/>
          <w:szCs w:val="20"/>
        </w:rPr>
        <w:t>13</w:t>
      </w:r>
      <w:r w:rsidRPr="00705002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705002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705002">
        <w:rPr>
          <w:b/>
          <w:sz w:val="20"/>
          <w:szCs w:val="20"/>
        </w:rPr>
        <w:t>г.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оказыв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емых российскими лицами, при осуществлении закупок товаров, работ, по отношению к товарам, происходящим из </w:t>
      </w:r>
      <w:r w:rsidRPr="006A14D6">
        <w:rPr>
          <w:sz w:val="20"/>
          <w:szCs w:val="20"/>
        </w:rPr>
        <w:lastRenderedPageBreak/>
        <w:t>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</w:t>
      </w:r>
      <w:r w:rsidRPr="006A14D6">
        <w:rPr>
          <w:bCs/>
          <w:sz w:val="20"/>
          <w:szCs w:val="20"/>
        </w:rPr>
        <w:t>у</w:t>
      </w:r>
      <w:r w:rsidRPr="006A14D6">
        <w:rPr>
          <w:bCs/>
          <w:sz w:val="20"/>
          <w:szCs w:val="20"/>
        </w:rPr>
        <w:t xml:space="preserve">ществляется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внесенное обеспечение оферты не возвращается (если требование о предоставлении обеспечения оферты б</w:t>
      </w:r>
      <w:r w:rsidRPr="006A14D6">
        <w:rPr>
          <w:bCs/>
          <w:sz w:val="20"/>
          <w:szCs w:val="20"/>
        </w:rPr>
        <w:t>ы</w:t>
      </w:r>
      <w:r w:rsidRPr="006A14D6">
        <w:rPr>
          <w:bCs/>
          <w:sz w:val="20"/>
          <w:szCs w:val="20"/>
        </w:rPr>
        <w:t xml:space="preserve">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lastRenderedPageBreak/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соответств</w:t>
      </w:r>
      <w:r w:rsidRPr="006A14D6">
        <w:rPr>
          <w:bCs/>
          <w:sz w:val="20"/>
          <w:szCs w:val="20"/>
        </w:rPr>
        <w:t>у</w:t>
      </w:r>
      <w:r w:rsidRPr="006A14D6">
        <w:rPr>
          <w:bCs/>
          <w:sz w:val="20"/>
          <w:szCs w:val="20"/>
        </w:rPr>
        <w:t>ющие расценки в текст договора (в смету, спецификацию, иное приложение) с сохранением пропорционального соо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Пониж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ющий коэффициент рассчитывается путем деления цены, предложенной в ходе проведения закупки участником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>ки, обязанным заключить договор,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ствами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E5A39" w:rsidRPr="000F1C95" w:rsidRDefault="003E5A39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lastRenderedPageBreak/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352B01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ЖЭУ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В.А. Князев</w:t>
      </w:r>
    </w:p>
    <w:p w:rsidR="005162C7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Директор столовой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Л.В. Зайцева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rPr>
          <w:sz w:val="20"/>
          <w:szCs w:val="20"/>
        </w:rPr>
      </w:pPr>
    </w:p>
    <w:p w:rsidR="00352B01" w:rsidRDefault="00352B01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EF1D28">
        <w:rPr>
          <w:sz w:val="20"/>
          <w:szCs w:val="20"/>
        </w:rPr>
        <w:t>2</w:t>
      </w:r>
      <w:r w:rsidR="003E5A39">
        <w:rPr>
          <w:sz w:val="20"/>
          <w:szCs w:val="20"/>
        </w:rPr>
        <w:t>4</w:t>
      </w:r>
      <w:r w:rsidRPr="006A14D6">
        <w:rPr>
          <w:sz w:val="20"/>
          <w:szCs w:val="20"/>
        </w:rPr>
        <w:t>-ЗК от «</w:t>
      </w:r>
      <w:r w:rsidR="00EF1D28">
        <w:rPr>
          <w:sz w:val="20"/>
          <w:szCs w:val="20"/>
        </w:rPr>
        <w:t>04</w:t>
      </w:r>
      <w:r w:rsidRPr="006A14D6">
        <w:rPr>
          <w:sz w:val="20"/>
          <w:szCs w:val="20"/>
        </w:rPr>
        <w:t xml:space="preserve">» </w:t>
      </w:r>
      <w:r w:rsidR="00EF1D28">
        <w:rPr>
          <w:sz w:val="20"/>
          <w:szCs w:val="20"/>
        </w:rPr>
        <w:t>февраля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ставку продовольственных товаров для нужд столовой 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  <w:r w:rsidR="003E5A39">
              <w:rPr>
                <w:i/>
                <w:color w:val="0000FF"/>
                <w:sz w:val="14"/>
                <w:szCs w:val="20"/>
              </w:rPr>
              <w:t>_________ или  ТУ №____________(указать номер)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E5A39" w:rsidRPr="00130DC9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vanish/>
          <w:color w:val="FF0000"/>
          <w:sz w:val="20"/>
          <w:szCs w:val="20"/>
          <w:specVanish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установленных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 разделом 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>10.2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 Извещения 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>о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 проведении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 открытого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 запроса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 котировок 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в электронной форме </w:t>
      </w:r>
    </w:p>
    <w:p w:rsidR="00130DC9" w:rsidRDefault="00130DC9" w:rsidP="003E5A39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:rsidR="00352B01" w:rsidRPr="00130DC9" w:rsidRDefault="00352B01" w:rsidP="003E5A39">
      <w:pPr>
        <w:rPr>
          <w:b/>
          <w:vanish/>
          <w:color w:val="FF0000"/>
          <w:sz w:val="20"/>
          <w:szCs w:val="20"/>
          <w:specVanish/>
        </w:rPr>
      </w:pPr>
      <w:r w:rsidRPr="00F80490">
        <w:rPr>
          <w:b/>
          <w:color w:val="FF0000"/>
          <w:sz w:val="20"/>
          <w:szCs w:val="20"/>
        </w:rPr>
        <w:t xml:space="preserve">№ </w:t>
      </w:r>
      <w:r w:rsidR="003E5A39">
        <w:rPr>
          <w:b/>
          <w:color w:val="FF0000"/>
          <w:sz w:val="20"/>
          <w:szCs w:val="20"/>
        </w:rPr>
        <w:t>24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267CB0">
        <w:rPr>
          <w:b/>
          <w:color w:val="FF0000"/>
          <w:sz w:val="20"/>
          <w:szCs w:val="20"/>
        </w:rPr>
        <w:t>04</w:t>
      </w:r>
      <w:r w:rsidRPr="00F80490">
        <w:rPr>
          <w:b/>
          <w:color w:val="FF0000"/>
          <w:sz w:val="20"/>
          <w:szCs w:val="20"/>
        </w:rPr>
        <w:t>.</w:t>
      </w:r>
      <w:r w:rsidR="00267CB0">
        <w:rPr>
          <w:b/>
          <w:color w:val="FF0000"/>
          <w:sz w:val="20"/>
          <w:szCs w:val="20"/>
        </w:rPr>
        <w:t>02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20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E5A39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130DC9" w:rsidRDefault="00130DC9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267CB0">
        <w:rPr>
          <w:sz w:val="20"/>
          <w:szCs w:val="20"/>
        </w:rPr>
        <w:t>2</w:t>
      </w:r>
      <w:r w:rsidR="00130DC9">
        <w:rPr>
          <w:sz w:val="20"/>
          <w:szCs w:val="20"/>
        </w:rPr>
        <w:t>4</w:t>
      </w:r>
      <w:r w:rsidRPr="006A14D6">
        <w:rPr>
          <w:sz w:val="20"/>
          <w:szCs w:val="20"/>
        </w:rPr>
        <w:t>-ЗК от «</w:t>
      </w:r>
      <w:r w:rsidR="00267CB0">
        <w:rPr>
          <w:sz w:val="20"/>
          <w:szCs w:val="20"/>
        </w:rPr>
        <w:t>04</w:t>
      </w:r>
      <w:r w:rsidRPr="006A14D6">
        <w:rPr>
          <w:sz w:val="20"/>
          <w:szCs w:val="20"/>
        </w:rPr>
        <w:t xml:space="preserve">» </w:t>
      </w:r>
      <w:r w:rsidR="00267CB0">
        <w:rPr>
          <w:sz w:val="20"/>
          <w:szCs w:val="20"/>
        </w:rPr>
        <w:t>февраля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0DC9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  <w:bookmarkStart w:id="2" w:name="_GoBack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bookmarkEnd w:id="2"/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2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25F" w:rsidRDefault="005F025F">
      <w:r>
        <w:separator/>
      </w:r>
    </w:p>
  </w:endnote>
  <w:endnote w:type="continuationSeparator" w:id="0">
    <w:p w:rsidR="005F025F" w:rsidRDefault="005F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85" w:rsidRDefault="00C01885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0DC9">
      <w:rPr>
        <w:rStyle w:val="a9"/>
        <w:noProof/>
      </w:rPr>
      <w:t>9</w:t>
    </w:r>
    <w:r>
      <w:rPr>
        <w:rStyle w:val="a9"/>
      </w:rPr>
      <w:fldChar w:fldCharType="end"/>
    </w:r>
  </w:p>
  <w:p w:rsidR="00C01885" w:rsidRDefault="00C01885" w:rsidP="00015EF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25F" w:rsidRDefault="005F025F">
      <w:r>
        <w:separator/>
      </w:r>
    </w:p>
  </w:footnote>
  <w:footnote w:type="continuationSeparator" w:id="0">
    <w:p w:rsidR="005F025F" w:rsidRDefault="005F0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0DC9"/>
    <w:rsid w:val="001315B9"/>
    <w:rsid w:val="001316DE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6C55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67CB0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A39"/>
    <w:rsid w:val="003E5DDB"/>
    <w:rsid w:val="003E6DF5"/>
    <w:rsid w:val="003F2256"/>
    <w:rsid w:val="003F2D81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62C7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688"/>
    <w:rsid w:val="005B4E66"/>
    <w:rsid w:val="005C1C01"/>
    <w:rsid w:val="005C1C9F"/>
    <w:rsid w:val="005C23AD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025F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317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3881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1885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1D28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39FC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018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1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2">
    <w:name w:val="Body Text Indent 2"/>
    <w:basedOn w:val="a"/>
    <w:link w:val="23"/>
    <w:semiHidden/>
    <w:unhideWhenUsed/>
    <w:rsid w:val="002B478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99"/>
    <w:locked/>
    <w:rsid w:val="00666A3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01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t1.torgi223.ru/registry/li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XP@brst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FE7F7-1568-4CE7-A443-DF0F76E6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4359</TotalTime>
  <Pages>10</Pages>
  <Words>6094</Words>
  <Characters>34737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40750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Лобова Г.Д.</cp:lastModifiedBy>
  <cp:revision>254</cp:revision>
  <cp:lastPrinted>2011-12-07T05:49:00Z</cp:lastPrinted>
  <dcterms:created xsi:type="dcterms:W3CDTF">2014-05-27T01:29:00Z</dcterms:created>
  <dcterms:modified xsi:type="dcterms:W3CDTF">2020-02-03T12:55:00Z</dcterms:modified>
</cp:coreProperties>
</file>