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DD4095">
        <w:rPr>
          <w:b w:val="0"/>
          <w:bCs w:val="0"/>
          <w:sz w:val="20"/>
          <w:szCs w:val="20"/>
        </w:rPr>
        <w:t>24</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DD4095">
        <w:rPr>
          <w:sz w:val="20"/>
          <w:szCs w:val="20"/>
        </w:rPr>
        <w:t>14</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DD4095">
        <w:rPr>
          <w:sz w:val="20"/>
          <w:szCs w:val="20"/>
        </w:rPr>
        <w:t>24</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D28A2">
        <w:rPr>
          <w:sz w:val="20"/>
          <w:szCs w:val="20"/>
        </w:rPr>
        <w:t>Князев Виктор Анатольевич</w:t>
      </w:r>
      <w:r w:rsidR="00FD28A2" w:rsidRPr="006A14D6">
        <w:rPr>
          <w:sz w:val="20"/>
          <w:szCs w:val="20"/>
        </w:rPr>
        <w:t>, тел.: +7 (3953) 325</w:t>
      </w:r>
      <w:r w:rsidR="00FD28A2">
        <w:rPr>
          <w:sz w:val="20"/>
          <w:szCs w:val="20"/>
        </w:rPr>
        <w:t>410</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DD4095" w:rsidRPr="006A14D6">
        <w:rPr>
          <w:bCs/>
          <w:sz w:val="20"/>
          <w:szCs w:val="20"/>
        </w:rPr>
        <w:t xml:space="preserve">оказание услуг </w:t>
      </w:r>
      <w:r w:rsidR="00DD4095">
        <w:rPr>
          <w:bCs/>
          <w:sz w:val="20"/>
          <w:szCs w:val="20"/>
        </w:rPr>
        <w:t>по техническому обслуживанию и ремонту объектового базового прибора АПС с выводом сигнала о пожаре на пульт пожарной охраны</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DD4095" w:rsidRPr="003832E5" w:rsidRDefault="00DD4095" w:rsidP="00FD28A2">
      <w:pPr>
        <w:widowControl w:val="0"/>
        <w:tabs>
          <w:tab w:val="left" w:pos="720"/>
        </w:tabs>
        <w:jc w:val="both"/>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DD4095" w:rsidRPr="00DD4095" w:rsidTr="00266CD8">
        <w:trPr>
          <w:jc w:val="center"/>
        </w:trPr>
        <w:tc>
          <w:tcPr>
            <w:tcW w:w="534" w:type="dxa"/>
            <w:shd w:val="clear" w:color="auto" w:fill="D9D9D9" w:themeFill="background1" w:themeFillShade="D9"/>
          </w:tcPr>
          <w:p w:rsidR="00DD4095" w:rsidRPr="00DD4095" w:rsidRDefault="00DD4095" w:rsidP="00C424B3">
            <w:pPr>
              <w:jc w:val="center"/>
              <w:rPr>
                <w:sz w:val="20"/>
              </w:rPr>
            </w:pPr>
            <w:r w:rsidRPr="00DD4095">
              <w:rPr>
                <w:sz w:val="20"/>
              </w:rPr>
              <w:t xml:space="preserve">№ </w:t>
            </w:r>
            <w:proofErr w:type="spellStart"/>
            <w:proofErr w:type="gramStart"/>
            <w:r w:rsidRPr="00DD4095">
              <w:rPr>
                <w:sz w:val="20"/>
              </w:rPr>
              <w:t>п</w:t>
            </w:r>
            <w:proofErr w:type="spellEnd"/>
            <w:proofErr w:type="gramEnd"/>
            <w:r w:rsidRPr="00DD4095">
              <w:rPr>
                <w:sz w:val="20"/>
              </w:rPr>
              <w:t>/</w:t>
            </w:r>
            <w:proofErr w:type="spellStart"/>
            <w:r w:rsidRPr="00DD4095">
              <w:rPr>
                <w:sz w:val="20"/>
              </w:rPr>
              <w:t>п</w:t>
            </w:r>
            <w:proofErr w:type="spellEnd"/>
          </w:p>
        </w:tc>
        <w:tc>
          <w:tcPr>
            <w:tcW w:w="2614" w:type="dxa"/>
            <w:shd w:val="clear" w:color="auto" w:fill="D9D9D9" w:themeFill="background1" w:themeFillShade="D9"/>
            <w:vAlign w:val="center"/>
          </w:tcPr>
          <w:p w:rsidR="00DD4095" w:rsidRPr="00DD4095" w:rsidRDefault="00DD4095" w:rsidP="00C424B3">
            <w:pPr>
              <w:jc w:val="center"/>
              <w:rPr>
                <w:sz w:val="20"/>
              </w:rPr>
            </w:pPr>
            <w:r w:rsidRPr="00DD4095">
              <w:rPr>
                <w:sz w:val="20"/>
              </w:rPr>
              <w:t>Наименование об</w:t>
            </w:r>
            <w:r w:rsidRPr="00DD4095">
              <w:rPr>
                <w:sz w:val="20"/>
              </w:rPr>
              <w:t>ъ</w:t>
            </w:r>
            <w:r w:rsidRPr="00DD4095">
              <w:rPr>
                <w:sz w:val="20"/>
              </w:rPr>
              <w:t>екта</w:t>
            </w:r>
          </w:p>
        </w:tc>
        <w:tc>
          <w:tcPr>
            <w:tcW w:w="3197" w:type="dxa"/>
            <w:shd w:val="clear" w:color="auto" w:fill="D9D9D9" w:themeFill="background1" w:themeFillShade="D9"/>
            <w:vAlign w:val="center"/>
          </w:tcPr>
          <w:p w:rsidR="00DD4095" w:rsidRPr="00DD4095" w:rsidRDefault="00DD4095" w:rsidP="00C424B3">
            <w:pPr>
              <w:jc w:val="center"/>
              <w:rPr>
                <w:sz w:val="20"/>
              </w:rPr>
            </w:pPr>
            <w:proofErr w:type="gramStart"/>
            <w:r w:rsidRPr="00DD4095">
              <w:rPr>
                <w:sz w:val="20"/>
              </w:rPr>
              <w:t>Место нахождение</w:t>
            </w:r>
            <w:proofErr w:type="gramEnd"/>
            <w:r w:rsidRPr="00DD4095">
              <w:rPr>
                <w:sz w:val="20"/>
              </w:rPr>
              <w:t xml:space="preserve"> объе</w:t>
            </w:r>
            <w:r w:rsidRPr="00DD4095">
              <w:rPr>
                <w:sz w:val="20"/>
              </w:rPr>
              <w:t>к</w:t>
            </w:r>
            <w:r w:rsidRPr="00DD4095">
              <w:rPr>
                <w:sz w:val="20"/>
              </w:rPr>
              <w:t>та</w:t>
            </w:r>
          </w:p>
        </w:tc>
        <w:tc>
          <w:tcPr>
            <w:tcW w:w="1955" w:type="dxa"/>
            <w:shd w:val="clear" w:color="auto" w:fill="D9D9D9" w:themeFill="background1" w:themeFillShade="D9"/>
            <w:vAlign w:val="center"/>
          </w:tcPr>
          <w:p w:rsidR="00DD4095" w:rsidRPr="00DD4095" w:rsidRDefault="00DD4095" w:rsidP="00C424B3">
            <w:pPr>
              <w:jc w:val="center"/>
              <w:rPr>
                <w:sz w:val="20"/>
              </w:rPr>
            </w:pPr>
            <w:r w:rsidRPr="00DD4095">
              <w:rPr>
                <w:sz w:val="20"/>
              </w:rPr>
              <w:t>Наименование об</w:t>
            </w:r>
            <w:r w:rsidRPr="00DD4095">
              <w:rPr>
                <w:sz w:val="20"/>
              </w:rPr>
              <w:t>о</w:t>
            </w:r>
            <w:r w:rsidRPr="00DD4095">
              <w:rPr>
                <w:sz w:val="20"/>
              </w:rPr>
              <w:t>рудования</w:t>
            </w:r>
          </w:p>
        </w:tc>
        <w:tc>
          <w:tcPr>
            <w:tcW w:w="1447" w:type="dxa"/>
            <w:shd w:val="clear" w:color="auto" w:fill="D9D9D9" w:themeFill="background1" w:themeFillShade="D9"/>
            <w:vAlign w:val="center"/>
          </w:tcPr>
          <w:p w:rsidR="00DD4095" w:rsidRPr="00DD4095" w:rsidRDefault="00DD4095" w:rsidP="00C424B3">
            <w:pPr>
              <w:jc w:val="center"/>
              <w:rPr>
                <w:sz w:val="20"/>
              </w:rPr>
            </w:pPr>
            <w:r w:rsidRPr="00DD4095">
              <w:rPr>
                <w:sz w:val="20"/>
              </w:rPr>
              <w:t>Количество, шт.</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1</w:t>
            </w:r>
          </w:p>
        </w:tc>
        <w:tc>
          <w:tcPr>
            <w:tcW w:w="2614" w:type="dxa"/>
            <w:shd w:val="clear" w:color="auto" w:fill="auto"/>
            <w:vAlign w:val="center"/>
          </w:tcPr>
          <w:p w:rsidR="00DD4095" w:rsidRPr="00DD4095" w:rsidRDefault="00DD4095" w:rsidP="00C424B3">
            <w:pPr>
              <w:jc w:val="center"/>
              <w:rPr>
                <w:sz w:val="20"/>
              </w:rPr>
            </w:pPr>
            <w:r w:rsidRPr="00DD4095">
              <w:rPr>
                <w:sz w:val="20"/>
              </w:rPr>
              <w:t>Учебно-лабораторный</w:t>
            </w:r>
            <w:r>
              <w:rPr>
                <w:sz w:val="20"/>
              </w:rPr>
              <w:br/>
            </w:r>
            <w:r w:rsidRPr="00DD4095">
              <w:rPr>
                <w:sz w:val="20"/>
              </w:rPr>
              <w:t xml:space="preserve"> ко</w:t>
            </w:r>
            <w:r w:rsidRPr="00DD4095">
              <w:rPr>
                <w:sz w:val="20"/>
              </w:rPr>
              <w:t>р</w:t>
            </w:r>
            <w:r w:rsidRPr="00DD4095">
              <w:rPr>
                <w:sz w:val="20"/>
              </w:rPr>
              <w:t>пус №1</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М</w:t>
            </w:r>
            <w:r w:rsidRPr="00DD4095">
              <w:rPr>
                <w:sz w:val="20"/>
              </w:rPr>
              <w:t>а</w:t>
            </w:r>
            <w:r w:rsidRPr="00DD4095">
              <w:rPr>
                <w:sz w:val="20"/>
              </w:rPr>
              <w:t>каренко, 40, стр. 1</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w:t>
            </w:r>
            <w:r w:rsidRPr="00DD4095">
              <w:rPr>
                <w:sz w:val="20"/>
              </w:rPr>
              <w:t>-</w:t>
            </w:r>
            <w:r w:rsidRPr="00DD4095">
              <w:rPr>
                <w:sz w:val="20"/>
                <w:lang w:val="en-US"/>
              </w:rPr>
              <w:t>M</w:t>
            </w:r>
            <w:r w:rsidRPr="00DD4095">
              <w:rPr>
                <w:sz w:val="20"/>
              </w:rPr>
              <w:t>8-03»</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2</w:t>
            </w:r>
          </w:p>
        </w:tc>
        <w:tc>
          <w:tcPr>
            <w:tcW w:w="2614" w:type="dxa"/>
            <w:shd w:val="clear" w:color="auto" w:fill="auto"/>
            <w:vAlign w:val="center"/>
          </w:tcPr>
          <w:p w:rsidR="00DD4095" w:rsidRPr="00DD4095" w:rsidRDefault="00DD4095" w:rsidP="00C424B3">
            <w:pPr>
              <w:jc w:val="center"/>
              <w:rPr>
                <w:sz w:val="20"/>
              </w:rPr>
            </w:pPr>
            <w:r w:rsidRPr="00DD4095">
              <w:rPr>
                <w:sz w:val="20"/>
              </w:rPr>
              <w:t>Учебный корпус общете</w:t>
            </w:r>
            <w:r w:rsidRPr="00DD4095">
              <w:rPr>
                <w:sz w:val="20"/>
              </w:rPr>
              <w:t>х</w:t>
            </w:r>
            <w:r w:rsidRPr="00DD4095">
              <w:rPr>
                <w:sz w:val="20"/>
              </w:rPr>
              <w:t>нического и</w:t>
            </w:r>
            <w:r w:rsidRPr="00DD4095">
              <w:rPr>
                <w:sz w:val="20"/>
              </w:rPr>
              <w:t>н</w:t>
            </w:r>
            <w:r w:rsidRPr="00DD4095">
              <w:rPr>
                <w:sz w:val="20"/>
              </w:rPr>
              <w:t>ститута (№2)</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М</w:t>
            </w:r>
            <w:r w:rsidRPr="00DD4095">
              <w:rPr>
                <w:sz w:val="20"/>
              </w:rPr>
              <w:t>а</w:t>
            </w:r>
            <w:r w:rsidRPr="00DD4095">
              <w:rPr>
                <w:sz w:val="20"/>
              </w:rPr>
              <w:t>каренко, 40, стр. 2</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3</w:t>
            </w:r>
          </w:p>
        </w:tc>
        <w:tc>
          <w:tcPr>
            <w:tcW w:w="2614" w:type="dxa"/>
            <w:shd w:val="clear" w:color="auto" w:fill="auto"/>
            <w:vAlign w:val="center"/>
          </w:tcPr>
          <w:p w:rsidR="00DD4095" w:rsidRPr="00DD4095" w:rsidRDefault="00DD4095" w:rsidP="00C424B3">
            <w:pPr>
              <w:jc w:val="center"/>
              <w:rPr>
                <w:sz w:val="20"/>
              </w:rPr>
            </w:pPr>
            <w:r w:rsidRPr="00DD4095">
              <w:rPr>
                <w:sz w:val="20"/>
              </w:rPr>
              <w:t>Корпус строительного ф</w:t>
            </w:r>
            <w:r w:rsidRPr="00DD4095">
              <w:rPr>
                <w:sz w:val="20"/>
              </w:rPr>
              <w:t>а</w:t>
            </w:r>
            <w:r w:rsidRPr="00DD4095">
              <w:rPr>
                <w:sz w:val="20"/>
              </w:rPr>
              <w:t>культета с блоком испыт</w:t>
            </w:r>
            <w:r w:rsidRPr="00DD4095">
              <w:rPr>
                <w:sz w:val="20"/>
              </w:rPr>
              <w:t>а</w:t>
            </w:r>
            <w:r w:rsidRPr="00DD4095">
              <w:rPr>
                <w:sz w:val="20"/>
              </w:rPr>
              <w:t>ния констру</w:t>
            </w:r>
            <w:r w:rsidRPr="00DD4095">
              <w:rPr>
                <w:sz w:val="20"/>
              </w:rPr>
              <w:t>к</w:t>
            </w:r>
            <w:r w:rsidRPr="00DD4095">
              <w:rPr>
                <w:sz w:val="20"/>
              </w:rPr>
              <w:t>ций (№3)</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Пог</w:t>
            </w:r>
            <w:r w:rsidRPr="00DD4095">
              <w:rPr>
                <w:sz w:val="20"/>
              </w:rPr>
              <w:t>о</w:t>
            </w:r>
            <w:r w:rsidRPr="00DD4095">
              <w:rPr>
                <w:sz w:val="20"/>
              </w:rPr>
              <w:t>даева, 5</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4</w:t>
            </w:r>
          </w:p>
        </w:tc>
        <w:tc>
          <w:tcPr>
            <w:tcW w:w="2614" w:type="dxa"/>
            <w:shd w:val="clear" w:color="auto" w:fill="auto"/>
            <w:vAlign w:val="center"/>
          </w:tcPr>
          <w:p w:rsidR="00DD4095" w:rsidRPr="00DD4095" w:rsidRDefault="00DD4095" w:rsidP="00C424B3">
            <w:pPr>
              <w:jc w:val="center"/>
              <w:rPr>
                <w:sz w:val="20"/>
              </w:rPr>
            </w:pPr>
            <w:r w:rsidRPr="00DD4095">
              <w:rPr>
                <w:sz w:val="20"/>
              </w:rPr>
              <w:t>Общежитие № 1</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Ст</w:t>
            </w:r>
            <w:r w:rsidRPr="00DD4095">
              <w:rPr>
                <w:sz w:val="20"/>
              </w:rPr>
              <w:t>у</w:t>
            </w:r>
            <w:r w:rsidRPr="00DD4095">
              <w:rPr>
                <w:sz w:val="20"/>
              </w:rPr>
              <w:t>денческая, 8, стр. № 426</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5</w:t>
            </w:r>
          </w:p>
        </w:tc>
        <w:tc>
          <w:tcPr>
            <w:tcW w:w="2614" w:type="dxa"/>
            <w:shd w:val="clear" w:color="auto" w:fill="auto"/>
            <w:vAlign w:val="center"/>
          </w:tcPr>
          <w:p w:rsidR="00DD4095" w:rsidRPr="00DD4095" w:rsidRDefault="00DD4095" w:rsidP="00C424B3">
            <w:pPr>
              <w:jc w:val="center"/>
              <w:rPr>
                <w:sz w:val="20"/>
              </w:rPr>
            </w:pPr>
            <w:r w:rsidRPr="00DD4095">
              <w:rPr>
                <w:sz w:val="20"/>
              </w:rPr>
              <w:t>Общежитие № 3</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Со</w:t>
            </w:r>
            <w:r w:rsidRPr="00DD4095">
              <w:rPr>
                <w:sz w:val="20"/>
              </w:rPr>
              <w:t>л</w:t>
            </w:r>
            <w:r w:rsidRPr="00DD4095">
              <w:rPr>
                <w:sz w:val="20"/>
              </w:rPr>
              <w:t>нечная, 17, стр. № 447</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6</w:t>
            </w:r>
          </w:p>
        </w:tc>
        <w:tc>
          <w:tcPr>
            <w:tcW w:w="2614" w:type="dxa"/>
            <w:shd w:val="clear" w:color="auto" w:fill="auto"/>
            <w:vAlign w:val="center"/>
          </w:tcPr>
          <w:p w:rsidR="00DD4095" w:rsidRPr="00DD4095" w:rsidRDefault="00DD4095" w:rsidP="00C424B3">
            <w:pPr>
              <w:jc w:val="center"/>
              <w:rPr>
                <w:sz w:val="20"/>
              </w:rPr>
            </w:pPr>
            <w:r w:rsidRPr="00DD4095">
              <w:rPr>
                <w:sz w:val="20"/>
              </w:rPr>
              <w:t>Общежитие № 4</w:t>
            </w:r>
          </w:p>
        </w:tc>
        <w:tc>
          <w:tcPr>
            <w:tcW w:w="3197" w:type="dxa"/>
            <w:shd w:val="clear" w:color="auto" w:fill="auto"/>
            <w:vAlign w:val="center"/>
          </w:tcPr>
          <w:p w:rsidR="00DD4095" w:rsidRPr="00DD4095" w:rsidRDefault="00DD4095" w:rsidP="00C424B3">
            <w:pPr>
              <w:rPr>
                <w:sz w:val="20"/>
              </w:rPr>
            </w:pPr>
            <w:r w:rsidRPr="00DD4095">
              <w:rPr>
                <w:sz w:val="20"/>
              </w:rPr>
              <w:t>665709, Иркутская обл., г. Братск, жилой район Энергетик, ул. Со</w:t>
            </w:r>
            <w:r w:rsidRPr="00DD4095">
              <w:rPr>
                <w:sz w:val="20"/>
              </w:rPr>
              <w:t>л</w:t>
            </w:r>
            <w:r w:rsidRPr="00DD4095">
              <w:rPr>
                <w:sz w:val="20"/>
              </w:rPr>
              <w:t>нечная, 19, ст. № 453</w:t>
            </w:r>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r w:rsidR="00DD4095" w:rsidRPr="00DD4095" w:rsidTr="00C424B3">
        <w:trPr>
          <w:jc w:val="center"/>
        </w:trPr>
        <w:tc>
          <w:tcPr>
            <w:tcW w:w="534" w:type="dxa"/>
            <w:shd w:val="clear" w:color="auto" w:fill="auto"/>
            <w:vAlign w:val="center"/>
          </w:tcPr>
          <w:p w:rsidR="00DD4095" w:rsidRPr="00DD4095" w:rsidRDefault="00DD4095" w:rsidP="00C424B3">
            <w:pPr>
              <w:jc w:val="center"/>
              <w:rPr>
                <w:sz w:val="20"/>
              </w:rPr>
            </w:pPr>
            <w:r w:rsidRPr="00DD4095">
              <w:rPr>
                <w:sz w:val="20"/>
              </w:rPr>
              <w:t>7</w:t>
            </w:r>
          </w:p>
        </w:tc>
        <w:tc>
          <w:tcPr>
            <w:tcW w:w="2614" w:type="dxa"/>
            <w:shd w:val="clear" w:color="auto" w:fill="auto"/>
            <w:vAlign w:val="center"/>
          </w:tcPr>
          <w:p w:rsidR="00DD4095" w:rsidRPr="00DD4095" w:rsidRDefault="00DD4095" w:rsidP="00C424B3">
            <w:pPr>
              <w:jc w:val="center"/>
              <w:rPr>
                <w:sz w:val="20"/>
              </w:rPr>
            </w:pPr>
            <w:r w:rsidRPr="00DD4095">
              <w:rPr>
                <w:sz w:val="20"/>
              </w:rPr>
              <w:t>Учебный корпус БЦБК ФГБОУ ВО «БрГУ»</w:t>
            </w:r>
          </w:p>
        </w:tc>
        <w:tc>
          <w:tcPr>
            <w:tcW w:w="3197" w:type="dxa"/>
            <w:shd w:val="clear" w:color="auto" w:fill="auto"/>
            <w:vAlign w:val="center"/>
          </w:tcPr>
          <w:p w:rsidR="00DD4095" w:rsidRPr="00DD4095" w:rsidRDefault="00DD4095" w:rsidP="00C424B3">
            <w:pPr>
              <w:rPr>
                <w:sz w:val="20"/>
              </w:rPr>
            </w:pPr>
            <w:proofErr w:type="gramStart"/>
            <w:r w:rsidRPr="00DD4095">
              <w:rPr>
                <w:sz w:val="20"/>
              </w:rPr>
              <w:t>Иркутская обл., г. Братск, ж</w:t>
            </w:r>
            <w:r w:rsidRPr="00DD4095">
              <w:rPr>
                <w:sz w:val="20"/>
              </w:rPr>
              <w:t>и</w:t>
            </w:r>
            <w:r w:rsidRPr="00DD4095">
              <w:rPr>
                <w:sz w:val="20"/>
              </w:rPr>
              <w:t>лой район Центральный, ул. Обручева, д. 41</w:t>
            </w:r>
            <w:proofErr w:type="gramEnd"/>
          </w:p>
        </w:tc>
        <w:tc>
          <w:tcPr>
            <w:tcW w:w="1955" w:type="dxa"/>
            <w:shd w:val="clear" w:color="auto" w:fill="auto"/>
            <w:vAlign w:val="center"/>
          </w:tcPr>
          <w:p w:rsidR="00DD4095" w:rsidRPr="00DD4095" w:rsidRDefault="00DD4095" w:rsidP="00C424B3">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DD4095" w:rsidRPr="00DD4095" w:rsidRDefault="00DD4095" w:rsidP="00C424B3">
            <w:pPr>
              <w:jc w:val="center"/>
              <w:rPr>
                <w:sz w:val="20"/>
              </w:rPr>
            </w:pPr>
            <w:r w:rsidRPr="00DD4095">
              <w:rPr>
                <w:sz w:val="20"/>
              </w:rPr>
              <w:t>1</w:t>
            </w:r>
          </w:p>
        </w:tc>
      </w:tr>
    </w:tbl>
    <w:p w:rsidR="00FD28A2" w:rsidRPr="003832E5" w:rsidRDefault="00FD28A2" w:rsidP="00FD28A2">
      <w:pPr>
        <w:tabs>
          <w:tab w:val="left" w:pos="851"/>
          <w:tab w:val="left" w:pos="993"/>
        </w:tabs>
        <w:jc w:val="both"/>
        <w:rPr>
          <w:sz w:val="20"/>
          <w:szCs w:val="20"/>
        </w:rPr>
      </w:pPr>
    </w:p>
    <w:p w:rsidR="00DD4095" w:rsidRPr="00E07C8D" w:rsidRDefault="00DD4095" w:rsidP="00DD4095">
      <w:pPr>
        <w:numPr>
          <w:ilvl w:val="0"/>
          <w:numId w:val="31"/>
        </w:numPr>
        <w:rPr>
          <w:b/>
          <w:sz w:val="20"/>
          <w:szCs w:val="20"/>
        </w:rPr>
      </w:pPr>
      <w:r w:rsidRPr="00E07C8D">
        <w:rPr>
          <w:b/>
          <w:sz w:val="20"/>
          <w:szCs w:val="20"/>
        </w:rPr>
        <w:t>Перечень и график необходимых работ по техническому обслуживанию</w:t>
      </w:r>
    </w:p>
    <w:p w:rsidR="00DD4095" w:rsidRPr="00B30AEF" w:rsidRDefault="00DD4095" w:rsidP="00DD4095">
      <w:pPr>
        <w:jc w:val="right"/>
        <w:rPr>
          <w:b/>
        </w:rPr>
      </w:pPr>
    </w:p>
    <w:tbl>
      <w:tblPr>
        <w:tblW w:w="9795" w:type="dxa"/>
        <w:jc w:val="center"/>
        <w:tblLayout w:type="fixed"/>
        <w:tblCellMar>
          <w:left w:w="0" w:type="dxa"/>
          <w:right w:w="0" w:type="dxa"/>
        </w:tblCellMar>
        <w:tblLook w:val="0000"/>
      </w:tblPr>
      <w:tblGrid>
        <w:gridCol w:w="856"/>
        <w:gridCol w:w="5813"/>
        <w:gridCol w:w="1425"/>
        <w:gridCol w:w="1701"/>
      </w:tblGrid>
      <w:tr w:rsidR="00DD4095" w:rsidRPr="00E07C8D" w:rsidTr="00266CD8">
        <w:tblPrEx>
          <w:tblCellMar>
            <w:top w:w="0" w:type="dxa"/>
            <w:left w:w="0" w:type="dxa"/>
            <w:bottom w:w="0" w:type="dxa"/>
            <w:right w:w="0" w:type="dxa"/>
          </w:tblCellMar>
        </w:tblPrEx>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r w:rsidRPr="00E07C8D">
              <w:rPr>
                <w:sz w:val="22"/>
                <w:szCs w:val="22"/>
              </w:rPr>
              <w:t xml:space="preserve">№ </w:t>
            </w:r>
          </w:p>
          <w:p w:rsidR="00DD4095" w:rsidRPr="00E07C8D" w:rsidRDefault="00DD4095" w:rsidP="00C424B3">
            <w:pPr>
              <w:pStyle w:val="Normal"/>
              <w:jc w:val="center"/>
              <w:rPr>
                <w:sz w:val="22"/>
                <w:szCs w:val="22"/>
              </w:rPr>
            </w:pPr>
            <w:r w:rsidRPr="00E07C8D">
              <w:rPr>
                <w:sz w:val="22"/>
                <w:szCs w:val="22"/>
              </w:rPr>
              <w:t xml:space="preserve"> </w:t>
            </w:r>
            <w:proofErr w:type="spellStart"/>
            <w:proofErr w:type="gramStart"/>
            <w:r w:rsidRPr="00E07C8D">
              <w:rPr>
                <w:sz w:val="22"/>
                <w:szCs w:val="22"/>
              </w:rPr>
              <w:t>п</w:t>
            </w:r>
            <w:proofErr w:type="spellEnd"/>
            <w:proofErr w:type="gramEnd"/>
            <w:r w:rsidRPr="00E07C8D">
              <w:rPr>
                <w:sz w:val="22"/>
                <w:szCs w:val="22"/>
              </w:rPr>
              <w:t>/</w:t>
            </w:r>
            <w:proofErr w:type="spellStart"/>
            <w:r w:rsidRPr="00E07C8D">
              <w:rPr>
                <w:sz w:val="22"/>
                <w:szCs w:val="22"/>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r w:rsidRPr="00E07C8D">
              <w:rPr>
                <w:sz w:val="22"/>
                <w:szCs w:val="22"/>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r w:rsidRPr="00E07C8D">
              <w:rPr>
                <w:sz w:val="22"/>
                <w:szCs w:val="22"/>
              </w:rPr>
              <w:t>Периодичность обслуживания</w:t>
            </w:r>
          </w:p>
        </w:tc>
      </w:tr>
      <w:tr w:rsidR="00DD4095" w:rsidRPr="00E07C8D" w:rsidTr="00266CD8">
        <w:tblPrEx>
          <w:tblCellMar>
            <w:top w:w="0" w:type="dxa"/>
            <w:left w:w="0" w:type="dxa"/>
            <w:bottom w:w="0" w:type="dxa"/>
            <w:right w:w="0" w:type="dxa"/>
          </w:tblCellMar>
        </w:tblPrEx>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p>
        </w:tc>
        <w:tc>
          <w:tcPr>
            <w:tcW w:w="5813" w:type="dxa"/>
            <w:vMerge/>
            <w:tcBorders>
              <w:left w:val="nil"/>
              <w:right w:val="single" w:sz="4" w:space="0" w:color="auto"/>
            </w:tcBorders>
            <w:shd w:val="clear" w:color="auto" w:fill="D9D9D9" w:themeFill="background1" w:themeFillShade="D9"/>
            <w:vAlign w:val="center"/>
          </w:tcPr>
          <w:p w:rsidR="00DD4095" w:rsidRPr="00E07C8D" w:rsidRDefault="00DD4095" w:rsidP="00C424B3">
            <w:pPr>
              <w:pStyle w:val="Normal"/>
              <w:rPr>
                <w:sz w:val="22"/>
                <w:szCs w:val="22"/>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r w:rsidRPr="00E07C8D">
              <w:rPr>
                <w:sz w:val="22"/>
                <w:szCs w:val="22"/>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D4095" w:rsidRPr="00E07C8D" w:rsidRDefault="00DD4095" w:rsidP="00C424B3">
            <w:pPr>
              <w:pStyle w:val="Normal"/>
              <w:jc w:val="center"/>
              <w:rPr>
                <w:sz w:val="22"/>
                <w:szCs w:val="22"/>
              </w:rPr>
            </w:pPr>
            <w:r>
              <w:rPr>
                <w:sz w:val="22"/>
                <w:szCs w:val="22"/>
              </w:rPr>
              <w:t>И</w:t>
            </w:r>
            <w:r w:rsidRPr="00E07C8D">
              <w:rPr>
                <w:sz w:val="22"/>
                <w:szCs w:val="22"/>
              </w:rPr>
              <w:t>сполнителем</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1</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Внешний осмотр составных частей установки на отсутс</w:t>
            </w:r>
            <w:r w:rsidRPr="00E07C8D">
              <w:rPr>
                <w:sz w:val="22"/>
                <w:szCs w:val="22"/>
              </w:rPr>
              <w:t>т</w:t>
            </w:r>
            <w:r w:rsidRPr="00E07C8D">
              <w:rPr>
                <w:sz w:val="22"/>
                <w:szCs w:val="22"/>
              </w:rPr>
              <w:t>вие механических повреждений, коррозии, грязи, про</w:t>
            </w:r>
            <w:r w:rsidRPr="00E07C8D">
              <w:rPr>
                <w:sz w:val="22"/>
                <w:szCs w:val="22"/>
              </w:rPr>
              <w:t>ч</w:t>
            </w:r>
            <w:r w:rsidRPr="00E07C8D">
              <w:rPr>
                <w:sz w:val="22"/>
                <w:szCs w:val="22"/>
              </w:rPr>
              <w:t>ность крепл</w:t>
            </w:r>
            <w:r w:rsidRPr="00E07C8D">
              <w:rPr>
                <w:sz w:val="22"/>
                <w:szCs w:val="22"/>
              </w:rPr>
              <w:t>е</w:t>
            </w:r>
            <w:r w:rsidRPr="00E07C8D">
              <w:rPr>
                <w:sz w:val="22"/>
                <w:szCs w:val="22"/>
              </w:rPr>
              <w:t>ний и т. п.</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Еженедельно</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Ежемесячно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lastRenderedPageBreak/>
              <w:t>2</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Контроль рабочего положения выключателей и перекл</w:t>
            </w:r>
            <w:r w:rsidRPr="00E07C8D">
              <w:rPr>
                <w:sz w:val="22"/>
                <w:szCs w:val="22"/>
              </w:rPr>
              <w:t>ю</w:t>
            </w:r>
            <w:r w:rsidRPr="00E07C8D">
              <w:rPr>
                <w:sz w:val="22"/>
                <w:szCs w:val="22"/>
              </w:rPr>
              <w:t>чателей, исправности световой индикации, наличие пломб на приемно-контрольном пр</w:t>
            </w:r>
            <w:r w:rsidRPr="00E07C8D">
              <w:rPr>
                <w:sz w:val="22"/>
                <w:szCs w:val="22"/>
              </w:rPr>
              <w:t>и</w:t>
            </w:r>
            <w:r w:rsidRPr="00E07C8D">
              <w:rPr>
                <w:sz w:val="22"/>
                <w:szCs w:val="22"/>
              </w:rPr>
              <w:t>боре</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Еженедельно</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Ежемесячно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3</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Контроль основного и резервного источников питания, проверка автоматического переключения питания с раб</w:t>
            </w:r>
            <w:r w:rsidRPr="00E07C8D">
              <w:rPr>
                <w:sz w:val="22"/>
                <w:szCs w:val="22"/>
              </w:rPr>
              <w:t>о</w:t>
            </w:r>
            <w:r w:rsidRPr="00E07C8D">
              <w:rPr>
                <w:sz w:val="22"/>
                <w:szCs w:val="22"/>
              </w:rPr>
              <w:t xml:space="preserve">чего ввода </w:t>
            </w:r>
            <w:proofErr w:type="gramStart"/>
            <w:r w:rsidRPr="00E07C8D">
              <w:rPr>
                <w:sz w:val="22"/>
                <w:szCs w:val="22"/>
              </w:rPr>
              <w:t>на</w:t>
            </w:r>
            <w:proofErr w:type="gramEnd"/>
            <w:r w:rsidRPr="00E07C8D">
              <w:rPr>
                <w:sz w:val="22"/>
                <w:szCs w:val="22"/>
              </w:rPr>
              <w:t xml:space="preserve"> р</w:t>
            </w:r>
            <w:r w:rsidRPr="00E07C8D">
              <w:rPr>
                <w:sz w:val="22"/>
                <w:szCs w:val="22"/>
              </w:rPr>
              <w:t>е</w:t>
            </w:r>
            <w:r w:rsidRPr="00E07C8D">
              <w:rPr>
                <w:sz w:val="22"/>
                <w:szCs w:val="22"/>
              </w:rPr>
              <w:t>зервный</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1 раз в пол</w:t>
            </w:r>
            <w:r w:rsidRPr="00E07C8D">
              <w:rPr>
                <w:sz w:val="22"/>
                <w:szCs w:val="22"/>
              </w:rPr>
              <w:t>у</w:t>
            </w:r>
            <w:r w:rsidRPr="00E07C8D">
              <w:rPr>
                <w:sz w:val="22"/>
                <w:szCs w:val="22"/>
              </w:rPr>
              <w:t>годие</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Ежемесячно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4</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Ежемесячно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5</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Ежемесячно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6</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Постоянно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7</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По необходим</w:t>
            </w:r>
            <w:r w:rsidRPr="00E07C8D">
              <w:rPr>
                <w:sz w:val="22"/>
                <w:szCs w:val="22"/>
              </w:rPr>
              <w:t>о</w:t>
            </w:r>
            <w:r w:rsidRPr="00E07C8D">
              <w:rPr>
                <w:sz w:val="22"/>
                <w:szCs w:val="22"/>
              </w:rPr>
              <w:t>сти</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8</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Ежеквартально</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9</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sidRPr="00E07C8D">
              <w:rPr>
                <w:sz w:val="22"/>
                <w:szCs w:val="22"/>
              </w:rPr>
              <w:t>Проверка дистанционной настройки и управления уст</w:t>
            </w:r>
            <w:r w:rsidRPr="00E07C8D">
              <w:rPr>
                <w:sz w:val="22"/>
                <w:szCs w:val="22"/>
              </w:rPr>
              <w:t>а</w:t>
            </w:r>
            <w:r w:rsidRPr="00E07C8D">
              <w:rPr>
                <w:sz w:val="22"/>
                <w:szCs w:val="22"/>
              </w:rPr>
              <w:t>новкой</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sidRPr="00E07C8D">
              <w:rPr>
                <w:sz w:val="22"/>
                <w:szCs w:val="22"/>
              </w:rPr>
              <w:t xml:space="preserve">Ежемесячно </w:t>
            </w:r>
          </w:p>
        </w:tc>
      </w:tr>
      <w:tr w:rsidR="00DD4095" w:rsidRPr="00E07C8D" w:rsidTr="00C424B3">
        <w:tblPrEx>
          <w:tblCellMar>
            <w:top w:w="0" w:type="dxa"/>
            <w:left w:w="0" w:type="dxa"/>
            <w:bottom w:w="0" w:type="dxa"/>
            <w:right w:w="0" w:type="dxa"/>
          </w:tblCellMar>
        </w:tblPrEx>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DD4095" w:rsidRPr="00E07C8D" w:rsidRDefault="00DD4095" w:rsidP="00C424B3">
            <w:pPr>
              <w:pStyle w:val="Normal"/>
              <w:jc w:val="center"/>
              <w:rPr>
                <w:sz w:val="22"/>
                <w:szCs w:val="22"/>
              </w:rPr>
            </w:pPr>
            <w:r>
              <w:rPr>
                <w:sz w:val="22"/>
                <w:szCs w:val="22"/>
              </w:rPr>
              <w:t>10</w:t>
            </w:r>
          </w:p>
        </w:tc>
        <w:tc>
          <w:tcPr>
            <w:tcW w:w="5813"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ind w:left="140" w:right="139"/>
              <w:rPr>
                <w:sz w:val="22"/>
                <w:szCs w:val="22"/>
              </w:rPr>
            </w:pPr>
            <w:r>
              <w:rPr>
                <w:sz w:val="22"/>
                <w:szCs w:val="22"/>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Pr>
                <w:sz w:val="22"/>
                <w:szCs w:val="22"/>
              </w:rPr>
              <w:t>-</w:t>
            </w:r>
          </w:p>
        </w:tc>
        <w:tc>
          <w:tcPr>
            <w:tcW w:w="1701" w:type="dxa"/>
            <w:tcBorders>
              <w:top w:val="single" w:sz="4" w:space="0" w:color="auto"/>
              <w:left w:val="nil"/>
              <w:bottom w:val="single" w:sz="4" w:space="0" w:color="auto"/>
              <w:right w:val="single" w:sz="4" w:space="0" w:color="auto"/>
            </w:tcBorders>
            <w:vAlign w:val="center"/>
          </w:tcPr>
          <w:p w:rsidR="00DD4095" w:rsidRPr="00E07C8D" w:rsidRDefault="00DD4095" w:rsidP="00C424B3">
            <w:pPr>
              <w:pStyle w:val="Normal"/>
              <w:jc w:val="center"/>
              <w:rPr>
                <w:sz w:val="22"/>
                <w:szCs w:val="22"/>
              </w:rPr>
            </w:pPr>
            <w:r>
              <w:rPr>
                <w:sz w:val="22"/>
                <w:szCs w:val="22"/>
              </w:rPr>
              <w:t>ежемесячно</w:t>
            </w:r>
          </w:p>
        </w:tc>
      </w:tr>
    </w:tbl>
    <w:p w:rsidR="00A16087" w:rsidRDefault="00A16087" w:rsidP="00A16087">
      <w:pPr>
        <w:jc w:val="both"/>
        <w:rPr>
          <w:b/>
          <w:sz w:val="20"/>
          <w:szCs w:val="20"/>
        </w:rPr>
      </w:pPr>
    </w:p>
    <w:p w:rsidR="00FD28A2" w:rsidRPr="00A16087" w:rsidRDefault="00FD28A2" w:rsidP="00A16087">
      <w:pPr>
        <w:pStyle w:val="af7"/>
        <w:numPr>
          <w:ilvl w:val="1"/>
          <w:numId w:val="34"/>
        </w:numPr>
        <w:jc w:val="both"/>
        <w:rPr>
          <w:b/>
          <w:sz w:val="20"/>
          <w:szCs w:val="20"/>
        </w:rPr>
      </w:pPr>
      <w:r w:rsidRPr="00A16087">
        <w:rPr>
          <w:b/>
          <w:sz w:val="20"/>
          <w:szCs w:val="20"/>
        </w:rPr>
        <w:t>«Исполнитель» обязан:</w:t>
      </w:r>
    </w:p>
    <w:p w:rsidR="00266CD8" w:rsidRPr="00FE24D4" w:rsidRDefault="00266CD8" w:rsidP="00266CD8">
      <w:pPr>
        <w:pStyle w:val="af7"/>
        <w:numPr>
          <w:ilvl w:val="2"/>
          <w:numId w:val="20"/>
        </w:numPr>
        <w:tabs>
          <w:tab w:val="left" w:pos="567"/>
        </w:tabs>
        <w:ind w:left="0" w:firstLine="0"/>
        <w:jc w:val="both"/>
        <w:rPr>
          <w:b/>
          <w:sz w:val="20"/>
          <w:szCs w:val="20"/>
        </w:rPr>
      </w:pPr>
      <w:r w:rsidRPr="00FE24D4">
        <w:rPr>
          <w:sz w:val="20"/>
          <w:szCs w:val="20"/>
        </w:rPr>
        <w:t>Качественно и в полном объеме, в соответствии с Регламентом работ по техническому обслуживанию базов</w:t>
      </w:r>
      <w:r>
        <w:rPr>
          <w:sz w:val="20"/>
          <w:szCs w:val="20"/>
        </w:rPr>
        <w:t>ого</w:t>
      </w:r>
      <w:r w:rsidRPr="00FE24D4">
        <w:rPr>
          <w:sz w:val="20"/>
          <w:szCs w:val="20"/>
        </w:rPr>
        <w:t xml:space="preserve"> прибор</w:t>
      </w:r>
      <w:r>
        <w:rPr>
          <w:sz w:val="20"/>
          <w:szCs w:val="20"/>
        </w:rPr>
        <w:t>а</w:t>
      </w:r>
      <w:r w:rsidRPr="00FE24D4">
        <w:rPr>
          <w:sz w:val="20"/>
          <w:szCs w:val="20"/>
        </w:rPr>
        <w:t xml:space="preserve"> систем АПС, </w:t>
      </w:r>
      <w:r>
        <w:rPr>
          <w:sz w:val="20"/>
          <w:szCs w:val="20"/>
        </w:rPr>
        <w:t>дублирующего</w:t>
      </w:r>
      <w:r w:rsidRPr="00FE24D4">
        <w:rPr>
          <w:sz w:val="20"/>
          <w:szCs w:val="20"/>
        </w:rPr>
        <w:t xml:space="preserve"> сигнал на пульт пожарной охраны, оказывать услуги по техническому обслуж</w:t>
      </w:r>
      <w:r w:rsidRPr="00FE24D4">
        <w:rPr>
          <w:sz w:val="20"/>
          <w:szCs w:val="20"/>
        </w:rPr>
        <w:t>и</w:t>
      </w:r>
      <w:r w:rsidRPr="00FE24D4">
        <w:rPr>
          <w:sz w:val="20"/>
          <w:szCs w:val="20"/>
        </w:rPr>
        <w:t>ванию и р</w:t>
      </w:r>
      <w:r w:rsidRPr="00FE24D4">
        <w:rPr>
          <w:sz w:val="20"/>
          <w:szCs w:val="20"/>
        </w:rPr>
        <w:t>е</w:t>
      </w:r>
      <w:r w:rsidRPr="00FE24D4">
        <w:rPr>
          <w:sz w:val="20"/>
          <w:szCs w:val="20"/>
        </w:rPr>
        <w:t xml:space="preserve">монту </w:t>
      </w:r>
      <w:r>
        <w:rPr>
          <w:sz w:val="20"/>
          <w:szCs w:val="20"/>
        </w:rPr>
        <w:t>прибора</w:t>
      </w:r>
      <w:r w:rsidRPr="00FE24D4">
        <w:rPr>
          <w:sz w:val="20"/>
          <w:szCs w:val="20"/>
        </w:rPr>
        <w:t>:</w:t>
      </w:r>
    </w:p>
    <w:p w:rsidR="00266CD8" w:rsidRPr="00FE24D4" w:rsidRDefault="00266CD8" w:rsidP="00266CD8">
      <w:pPr>
        <w:pStyle w:val="af7"/>
        <w:numPr>
          <w:ilvl w:val="0"/>
          <w:numId w:val="18"/>
        </w:numPr>
        <w:tabs>
          <w:tab w:val="left" w:pos="284"/>
          <w:tab w:val="left" w:pos="1134"/>
        </w:tabs>
        <w:ind w:left="0" w:firstLine="0"/>
        <w:jc w:val="both"/>
        <w:rPr>
          <w:sz w:val="20"/>
          <w:szCs w:val="20"/>
        </w:rPr>
      </w:pPr>
      <w:r w:rsidRPr="00FE24D4">
        <w:rPr>
          <w:sz w:val="20"/>
          <w:szCs w:val="20"/>
        </w:rPr>
        <w:t xml:space="preserve">обеспечивать постоянное рабочее состояние </w:t>
      </w:r>
      <w:r>
        <w:rPr>
          <w:sz w:val="20"/>
          <w:szCs w:val="20"/>
        </w:rPr>
        <w:t>базового</w:t>
      </w:r>
      <w:r w:rsidRPr="00FE24D4">
        <w:rPr>
          <w:sz w:val="20"/>
          <w:szCs w:val="20"/>
        </w:rPr>
        <w:t xml:space="preserve"> прибор</w:t>
      </w:r>
      <w:r>
        <w:rPr>
          <w:sz w:val="20"/>
          <w:szCs w:val="20"/>
        </w:rPr>
        <w:t>а</w:t>
      </w:r>
      <w:r w:rsidRPr="00FE24D4">
        <w:rPr>
          <w:sz w:val="20"/>
          <w:szCs w:val="20"/>
        </w:rPr>
        <w:t xml:space="preserve"> систем</w:t>
      </w:r>
      <w:r>
        <w:rPr>
          <w:sz w:val="20"/>
          <w:szCs w:val="20"/>
        </w:rPr>
        <w:t>ы</w:t>
      </w:r>
      <w:r w:rsidRPr="00FE24D4">
        <w:rPr>
          <w:sz w:val="20"/>
          <w:szCs w:val="20"/>
        </w:rPr>
        <w:t xml:space="preserve"> АПС;</w:t>
      </w:r>
    </w:p>
    <w:p w:rsidR="00266CD8" w:rsidRPr="00FE24D4" w:rsidRDefault="00266CD8" w:rsidP="00266CD8">
      <w:pPr>
        <w:pStyle w:val="af7"/>
        <w:numPr>
          <w:ilvl w:val="0"/>
          <w:numId w:val="18"/>
        </w:numPr>
        <w:tabs>
          <w:tab w:val="left" w:pos="284"/>
          <w:tab w:val="left" w:pos="567"/>
        </w:tabs>
        <w:ind w:left="0" w:firstLine="0"/>
        <w:jc w:val="both"/>
        <w:rPr>
          <w:b/>
          <w:sz w:val="20"/>
          <w:szCs w:val="20"/>
        </w:rPr>
      </w:pPr>
      <w:r w:rsidRPr="00FE24D4">
        <w:rPr>
          <w:sz w:val="20"/>
          <w:szCs w:val="20"/>
        </w:rPr>
        <w:t>устранять аварийные неисправности в работе базов</w:t>
      </w:r>
      <w:r>
        <w:rPr>
          <w:sz w:val="20"/>
          <w:szCs w:val="20"/>
        </w:rPr>
        <w:t>ого</w:t>
      </w:r>
      <w:r w:rsidRPr="00FE24D4">
        <w:rPr>
          <w:sz w:val="20"/>
          <w:szCs w:val="20"/>
        </w:rPr>
        <w:t xml:space="preserve"> прибор</w:t>
      </w:r>
      <w:r>
        <w:rPr>
          <w:sz w:val="20"/>
          <w:szCs w:val="20"/>
        </w:rPr>
        <w:t>а</w:t>
      </w:r>
      <w:r w:rsidRPr="00FE24D4">
        <w:rPr>
          <w:sz w:val="20"/>
          <w:szCs w:val="20"/>
        </w:rPr>
        <w:t xml:space="preserve"> систем</w:t>
      </w:r>
      <w:r>
        <w:rPr>
          <w:sz w:val="20"/>
          <w:szCs w:val="20"/>
        </w:rPr>
        <w:t>ы</w:t>
      </w:r>
      <w:r w:rsidRPr="00FE24D4">
        <w:rPr>
          <w:sz w:val="20"/>
          <w:szCs w:val="20"/>
        </w:rPr>
        <w:t xml:space="preserve"> АПС в течение не более 24 часов с момента получения вызова с п</w:t>
      </w:r>
      <w:r w:rsidRPr="00FE24D4">
        <w:rPr>
          <w:sz w:val="20"/>
          <w:szCs w:val="20"/>
        </w:rPr>
        <w:t>о</w:t>
      </w:r>
      <w:r w:rsidRPr="00FE24D4">
        <w:rPr>
          <w:sz w:val="20"/>
          <w:szCs w:val="20"/>
        </w:rPr>
        <w:t>стов охраны «Заказчика».</w:t>
      </w:r>
    </w:p>
    <w:p w:rsidR="00266CD8" w:rsidRDefault="00266CD8" w:rsidP="00266CD8">
      <w:pPr>
        <w:pStyle w:val="af7"/>
        <w:numPr>
          <w:ilvl w:val="2"/>
          <w:numId w:val="20"/>
        </w:numPr>
        <w:tabs>
          <w:tab w:val="left" w:pos="567"/>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с 10 числа</w:t>
      </w:r>
      <w:r w:rsidRPr="00663A81">
        <w:rPr>
          <w:sz w:val="20"/>
          <w:szCs w:val="20"/>
        </w:rPr>
        <w:t xml:space="preserve"> </w:t>
      </w:r>
      <w:r>
        <w:rPr>
          <w:sz w:val="20"/>
          <w:szCs w:val="20"/>
        </w:rPr>
        <w:t xml:space="preserve">ежемесячно персоналом, имеющим достаточную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266CD8"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Выполнять все требования по правилам техники безопасности и пожарной безопасности, действующие на объе</w:t>
      </w:r>
      <w:r w:rsidRPr="00F767DE">
        <w:rPr>
          <w:sz w:val="20"/>
          <w:szCs w:val="20"/>
        </w:rPr>
        <w:t>к</w:t>
      </w:r>
      <w:r w:rsidRPr="00F767DE">
        <w:rPr>
          <w:sz w:val="20"/>
          <w:szCs w:val="20"/>
        </w:rPr>
        <w:t>те, а так же требования «Правил технической эксплуатации электроустановок потребителей» и иных действующих пр</w:t>
      </w:r>
      <w:r w:rsidRPr="00F767DE">
        <w:rPr>
          <w:sz w:val="20"/>
          <w:szCs w:val="20"/>
        </w:rPr>
        <w:t>а</w:t>
      </w:r>
      <w:r w:rsidRPr="00F767DE">
        <w:rPr>
          <w:sz w:val="20"/>
          <w:szCs w:val="20"/>
        </w:rPr>
        <w:t>вил обеспечения безопасности при проведении работ.</w:t>
      </w:r>
    </w:p>
    <w:p w:rsidR="00266CD8"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Предоставляемые «Исполнителем» услуги должны соответств</w:t>
      </w:r>
      <w:r w:rsidRPr="00F767DE">
        <w:rPr>
          <w:sz w:val="20"/>
          <w:szCs w:val="20"/>
        </w:rPr>
        <w:t>о</w:t>
      </w:r>
      <w:r w:rsidRPr="00F767DE">
        <w:rPr>
          <w:sz w:val="20"/>
          <w:szCs w:val="20"/>
        </w:rPr>
        <w:t>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F767DE">
        <w:rPr>
          <w:sz w:val="20"/>
          <w:szCs w:val="20"/>
        </w:rPr>
        <w:t>о</w:t>
      </w:r>
      <w:r w:rsidRPr="00F767DE">
        <w:rPr>
          <w:sz w:val="20"/>
          <w:szCs w:val="20"/>
        </w:rPr>
        <w:t>вок», других норм и правил, установленных действующим законодательством Российской Федерации.</w:t>
      </w:r>
    </w:p>
    <w:p w:rsidR="00266CD8"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Выполнять ремонт систем с применением собственного оборудования и инструментов, при этом запасные части, нео</w:t>
      </w:r>
      <w:r w:rsidRPr="00F767DE">
        <w:rPr>
          <w:sz w:val="20"/>
          <w:szCs w:val="20"/>
        </w:rPr>
        <w:t>б</w:t>
      </w:r>
      <w:r w:rsidRPr="00F767DE">
        <w:rPr>
          <w:sz w:val="20"/>
          <w:szCs w:val="20"/>
        </w:rPr>
        <w:t>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266CD8"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Обеспечить своих работников служебными документами (удостоверениями) для предъявления их «Заказч</w:t>
      </w:r>
      <w:r w:rsidRPr="00F767DE">
        <w:rPr>
          <w:sz w:val="20"/>
          <w:szCs w:val="20"/>
        </w:rPr>
        <w:t>и</w:t>
      </w:r>
      <w:r w:rsidRPr="00F767DE">
        <w:rPr>
          <w:sz w:val="20"/>
          <w:szCs w:val="20"/>
        </w:rPr>
        <w:t>ку».</w:t>
      </w:r>
    </w:p>
    <w:p w:rsidR="00266CD8"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Сообщить «Заказчику» номера телефонов для обеспечения приема заявок (в том числе минимум один телефо</w:t>
      </w:r>
      <w:r w:rsidRPr="00F767DE">
        <w:rPr>
          <w:sz w:val="20"/>
          <w:szCs w:val="20"/>
        </w:rPr>
        <w:t>н</w:t>
      </w:r>
      <w:r w:rsidRPr="00F767DE">
        <w:rPr>
          <w:sz w:val="20"/>
          <w:szCs w:val="20"/>
        </w:rPr>
        <w:t>ный номер для обеспечения круглосуточного приема заявок по устранению аварийных ситуаций).</w:t>
      </w:r>
    </w:p>
    <w:p w:rsidR="00266CD8" w:rsidRPr="00F767DE" w:rsidRDefault="00266CD8" w:rsidP="00266CD8">
      <w:pPr>
        <w:pStyle w:val="af7"/>
        <w:numPr>
          <w:ilvl w:val="2"/>
          <w:numId w:val="20"/>
        </w:numPr>
        <w:tabs>
          <w:tab w:val="left" w:pos="567"/>
          <w:tab w:val="left" w:pos="1134"/>
        </w:tabs>
        <w:ind w:left="0" w:firstLine="0"/>
        <w:jc w:val="both"/>
        <w:rPr>
          <w:sz w:val="20"/>
          <w:szCs w:val="20"/>
        </w:rPr>
      </w:pPr>
      <w:r w:rsidRPr="00F767DE">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F767DE">
        <w:rPr>
          <w:sz w:val="20"/>
          <w:szCs w:val="20"/>
        </w:rPr>
        <w:t>Р</w:t>
      </w:r>
      <w:proofErr w:type="gramEnd"/>
      <w:r w:rsidRPr="00F767DE">
        <w:rPr>
          <w:sz w:val="20"/>
          <w:szCs w:val="20"/>
        </w:rPr>
        <w:t>» (в установленном порядке п. 3.7 РД 25.964-90 и п. 3.10 РД-009-02-96).</w:t>
      </w:r>
    </w:p>
    <w:p w:rsidR="00FD28A2" w:rsidRPr="00B45ED4" w:rsidRDefault="00FD28A2" w:rsidP="00FD28A2">
      <w:pPr>
        <w:pStyle w:val="af7"/>
        <w:ind w:left="360"/>
        <w:jc w:val="both"/>
        <w:rPr>
          <w:b/>
          <w:sz w:val="20"/>
          <w:szCs w:val="20"/>
        </w:rPr>
      </w:pPr>
    </w:p>
    <w:p w:rsidR="00FD28A2" w:rsidRPr="00C80E94" w:rsidRDefault="00FD28A2" w:rsidP="00A16087">
      <w:pPr>
        <w:pStyle w:val="af7"/>
        <w:numPr>
          <w:ilvl w:val="1"/>
          <w:numId w:val="34"/>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xml:space="preserve">* обоснование необходимости использования иных требований, связанных с определением соответствия поставляемого </w:t>
      </w:r>
      <w:r w:rsidRPr="006A14D6">
        <w:rPr>
          <w:sz w:val="20"/>
          <w:szCs w:val="20"/>
        </w:rPr>
        <w:lastRenderedPageBreak/>
        <w:t>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D27810">
      <w:pPr>
        <w:pStyle w:val="af7"/>
        <w:numPr>
          <w:ilvl w:val="0"/>
          <w:numId w:val="34"/>
        </w:numPr>
        <w:tabs>
          <w:tab w:val="left" w:pos="284"/>
        </w:tabs>
        <w:jc w:val="both"/>
        <w:rPr>
          <w:sz w:val="22"/>
          <w:szCs w:val="20"/>
        </w:rPr>
      </w:pPr>
      <w:r w:rsidRPr="00D27810">
        <w:rPr>
          <w:b/>
          <w:bCs/>
          <w:color w:val="000000"/>
          <w:sz w:val="20"/>
          <w:szCs w:val="20"/>
        </w:rPr>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266CD8">
        <w:rPr>
          <w:b/>
          <w:color w:val="FF0000"/>
          <w:sz w:val="22"/>
          <w:szCs w:val="20"/>
        </w:rPr>
        <w:t>165 550,</w:t>
      </w:r>
      <w:r w:rsidR="00D27810" w:rsidRPr="00D27810">
        <w:rPr>
          <w:b/>
          <w:color w:val="FF0000"/>
          <w:sz w:val="22"/>
          <w:szCs w:val="20"/>
        </w:rPr>
        <w:t>00</w:t>
      </w:r>
      <w:r w:rsidR="00F43B5D" w:rsidRPr="00D27810">
        <w:rPr>
          <w:b/>
          <w:color w:val="FF0000"/>
          <w:sz w:val="22"/>
          <w:szCs w:val="20"/>
        </w:rPr>
        <w:t xml:space="preserve"> рублей</w:t>
      </w:r>
      <w:r w:rsidR="00F43B5D" w:rsidRPr="00D27810">
        <w:rPr>
          <w:sz w:val="22"/>
          <w:szCs w:val="20"/>
        </w:rPr>
        <w:t xml:space="preserve"> (</w:t>
      </w:r>
      <w:r w:rsidR="00266CD8">
        <w:rPr>
          <w:i/>
          <w:sz w:val="22"/>
          <w:szCs w:val="20"/>
        </w:rPr>
        <w:t>сто шестьдесят пять</w:t>
      </w:r>
      <w:r w:rsidR="00E20EA2" w:rsidRPr="00D27810">
        <w:rPr>
          <w:i/>
          <w:sz w:val="22"/>
          <w:szCs w:val="20"/>
        </w:rPr>
        <w:t xml:space="preserve"> тысяч</w:t>
      </w:r>
      <w:r w:rsidR="00266CD8">
        <w:rPr>
          <w:i/>
          <w:sz w:val="22"/>
          <w:szCs w:val="20"/>
        </w:rPr>
        <w:t xml:space="preserve"> пятьсот пятьдесят</w:t>
      </w:r>
      <w:r w:rsidR="00E20EA2" w:rsidRPr="00D27810">
        <w:rPr>
          <w:i/>
          <w:sz w:val="22"/>
          <w:szCs w:val="20"/>
        </w:rPr>
        <w:t xml:space="preserve"> рублей </w:t>
      </w:r>
      <w:r w:rsidR="00D27810" w:rsidRPr="00D27810">
        <w:rPr>
          <w:i/>
          <w:sz w:val="22"/>
          <w:szCs w:val="20"/>
        </w:rPr>
        <w:t>0</w:t>
      </w:r>
      <w:r w:rsidR="00C24002" w:rsidRPr="00D27810">
        <w:rPr>
          <w:i/>
          <w:sz w:val="22"/>
          <w:szCs w:val="20"/>
        </w:rPr>
        <w:t xml:space="preserve">0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266CD8">
              <w:rPr>
                <w:bCs/>
                <w:sz w:val="20"/>
                <w:szCs w:val="20"/>
              </w:rPr>
              <w:t>по техническому обслуживанию и ремонту объе</w:t>
            </w:r>
            <w:r w:rsidR="00266CD8">
              <w:rPr>
                <w:bCs/>
                <w:sz w:val="20"/>
                <w:szCs w:val="20"/>
              </w:rPr>
              <w:t>к</w:t>
            </w:r>
            <w:r w:rsidR="00266CD8">
              <w:rPr>
                <w:bCs/>
                <w:sz w:val="20"/>
                <w:szCs w:val="20"/>
              </w:rPr>
              <w:t>тового базового прибора АПС с выводом сигнала о пожаре на пульт пожарной охраны</w:t>
            </w:r>
            <w:r w:rsidR="00D27810" w:rsidRPr="006A14D6">
              <w:rPr>
                <w:bCs/>
                <w:sz w:val="20"/>
                <w:szCs w:val="20"/>
              </w:rPr>
              <w:t>.</w:t>
            </w:r>
          </w:p>
        </w:tc>
        <w:tc>
          <w:tcPr>
            <w:tcW w:w="1739" w:type="dxa"/>
            <w:vAlign w:val="center"/>
          </w:tcPr>
          <w:p w:rsidR="00DF1B8E" w:rsidRPr="00C80E94" w:rsidRDefault="00D27810" w:rsidP="00DF1B8E">
            <w:pPr>
              <w:jc w:val="center"/>
              <w:rPr>
                <w:sz w:val="20"/>
                <w:szCs w:val="20"/>
              </w:rPr>
            </w:pPr>
            <w:r>
              <w:rPr>
                <w:sz w:val="20"/>
                <w:szCs w:val="20"/>
              </w:rPr>
              <w:t>11</w:t>
            </w:r>
          </w:p>
        </w:tc>
        <w:tc>
          <w:tcPr>
            <w:tcW w:w="2319" w:type="dxa"/>
            <w:vAlign w:val="center"/>
          </w:tcPr>
          <w:p w:rsidR="00DF1B8E" w:rsidRPr="00C80E94" w:rsidRDefault="00266CD8" w:rsidP="00DF1B8E">
            <w:pPr>
              <w:jc w:val="center"/>
              <w:rPr>
                <w:sz w:val="20"/>
                <w:szCs w:val="20"/>
              </w:rPr>
            </w:pPr>
            <w:r>
              <w:rPr>
                <w:sz w:val="20"/>
                <w:szCs w:val="20"/>
              </w:rPr>
              <w:t>15 050,00</w:t>
            </w:r>
          </w:p>
        </w:tc>
        <w:tc>
          <w:tcPr>
            <w:tcW w:w="3285" w:type="dxa"/>
            <w:vAlign w:val="center"/>
          </w:tcPr>
          <w:p w:rsidR="00DF1B8E" w:rsidRPr="00C80E94" w:rsidRDefault="00266CD8" w:rsidP="00D27810">
            <w:pPr>
              <w:jc w:val="center"/>
              <w:rPr>
                <w:sz w:val="20"/>
                <w:szCs w:val="20"/>
              </w:rPr>
            </w:pPr>
            <w:r>
              <w:rPr>
                <w:sz w:val="20"/>
                <w:szCs w:val="20"/>
              </w:rPr>
              <w:t>165 550,</w:t>
            </w:r>
            <w:r w:rsidR="00D27810">
              <w:rPr>
                <w:sz w:val="20"/>
                <w:szCs w:val="20"/>
              </w:rPr>
              <w:t>00</w:t>
            </w:r>
          </w:p>
        </w:tc>
      </w:tr>
      <w:tr w:rsidR="00D27810" w:rsidRPr="00C80E94" w:rsidTr="00D27810">
        <w:trPr>
          <w:trHeight w:val="278"/>
        </w:trPr>
        <w:tc>
          <w:tcPr>
            <w:tcW w:w="7122" w:type="dxa"/>
            <w:gridSpan w:val="3"/>
            <w:vAlign w:val="center"/>
          </w:tcPr>
          <w:p w:rsidR="00D27810" w:rsidRPr="00C80E94" w:rsidRDefault="00D27810" w:rsidP="00DF1B8E">
            <w:pPr>
              <w:jc w:val="right"/>
              <w:rPr>
                <w:sz w:val="20"/>
                <w:szCs w:val="20"/>
              </w:rPr>
            </w:pPr>
            <w:r w:rsidRPr="00C80E94">
              <w:rPr>
                <w:sz w:val="20"/>
                <w:szCs w:val="20"/>
              </w:rPr>
              <w:t>Итого:</w:t>
            </w:r>
          </w:p>
        </w:tc>
        <w:tc>
          <w:tcPr>
            <w:tcW w:w="3285" w:type="dxa"/>
            <w:vAlign w:val="center"/>
          </w:tcPr>
          <w:p w:rsidR="00D27810" w:rsidRPr="00C80E94" w:rsidRDefault="00266CD8" w:rsidP="00266CD8">
            <w:pPr>
              <w:jc w:val="center"/>
              <w:rPr>
                <w:sz w:val="20"/>
                <w:szCs w:val="20"/>
              </w:rPr>
            </w:pPr>
            <w:r>
              <w:rPr>
                <w:sz w:val="20"/>
                <w:szCs w:val="20"/>
              </w:rPr>
              <w:t>165 550,</w:t>
            </w:r>
            <w:r w:rsidR="00D27810">
              <w:rPr>
                <w:sz w:val="20"/>
                <w:szCs w:val="20"/>
              </w:rPr>
              <w:t>00</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lastRenderedPageBreak/>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договоре.</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266CD8">
        <w:rPr>
          <w:b/>
          <w:sz w:val="20"/>
          <w:szCs w:val="20"/>
        </w:rPr>
        <w:t>27</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266CD8">
        <w:rPr>
          <w:b/>
          <w:sz w:val="20"/>
          <w:szCs w:val="20"/>
        </w:rPr>
        <w:t>03</w:t>
      </w:r>
      <w:r w:rsidRPr="006A14D6">
        <w:rPr>
          <w:b/>
          <w:sz w:val="20"/>
          <w:szCs w:val="20"/>
        </w:rPr>
        <w:t xml:space="preserve">» </w:t>
      </w:r>
      <w:r w:rsidR="00266CD8">
        <w:rPr>
          <w:b/>
          <w:sz w:val="20"/>
          <w:szCs w:val="20"/>
        </w:rPr>
        <w:t>февраля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266CD8">
        <w:rPr>
          <w:b/>
          <w:sz w:val="20"/>
          <w:szCs w:val="20"/>
        </w:rPr>
        <w:t>27</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266CD8">
        <w:rPr>
          <w:b/>
          <w:sz w:val="20"/>
          <w:szCs w:val="20"/>
        </w:rPr>
        <w:t>30</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266CD8">
        <w:rPr>
          <w:b/>
          <w:sz w:val="20"/>
          <w:szCs w:val="20"/>
        </w:rPr>
        <w:t>04</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lastRenderedPageBreak/>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lastRenderedPageBreak/>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lastRenderedPageBreak/>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78DF" w:rsidP="004D78DF">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4D78DF" w:rsidRDefault="004D78DF" w:rsidP="004D78DF">
      <w:pPr>
        <w:tabs>
          <w:tab w:val="left" w:pos="1716"/>
        </w:tabs>
        <w:ind w:firstLine="708"/>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Pr>
          <w:sz w:val="20"/>
          <w:szCs w:val="20"/>
        </w:rPr>
        <w:t>Ведущий специалист по ПБ</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В.В. Хохлова</w:t>
      </w:r>
    </w:p>
    <w:p w:rsidR="004D78DF" w:rsidRPr="006A14D6"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266CD8">
        <w:rPr>
          <w:sz w:val="20"/>
          <w:szCs w:val="20"/>
        </w:rPr>
        <w:t>14</w:t>
      </w:r>
      <w:r w:rsidRPr="006A14D6">
        <w:rPr>
          <w:sz w:val="20"/>
          <w:szCs w:val="20"/>
        </w:rPr>
        <w:t>-ЗК от «</w:t>
      </w:r>
      <w:r w:rsidR="00266CD8">
        <w:rPr>
          <w:sz w:val="20"/>
          <w:szCs w:val="20"/>
        </w:rPr>
        <w:t>24</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66CD8" w:rsidRPr="006A14D6">
        <w:rPr>
          <w:bCs/>
          <w:sz w:val="20"/>
          <w:szCs w:val="20"/>
        </w:rPr>
        <w:t>услуг</w:t>
      </w:r>
      <w:r w:rsidR="00266CD8">
        <w:rPr>
          <w:bCs/>
          <w:sz w:val="20"/>
          <w:szCs w:val="20"/>
        </w:rPr>
        <w:t>и</w:t>
      </w:r>
      <w:r w:rsidR="00266CD8" w:rsidRPr="006A14D6">
        <w:rPr>
          <w:bCs/>
          <w:sz w:val="20"/>
          <w:szCs w:val="20"/>
        </w:rPr>
        <w:t xml:space="preserve"> </w:t>
      </w:r>
      <w:r w:rsidR="00266CD8">
        <w:rPr>
          <w:bCs/>
          <w:sz w:val="20"/>
          <w:szCs w:val="20"/>
        </w:rPr>
        <w:t>по техническому обслуживанию и ремонту объектового базового прибора АПС с выводом сигнала о пожаре на пульт п</w:t>
      </w:r>
      <w:r w:rsidR="00266CD8">
        <w:rPr>
          <w:bCs/>
          <w:sz w:val="20"/>
          <w:szCs w:val="20"/>
        </w:rPr>
        <w:t>о</w:t>
      </w:r>
      <w:r w:rsidR="00266CD8">
        <w:rPr>
          <w:bCs/>
          <w:sz w:val="20"/>
          <w:szCs w:val="20"/>
        </w:rPr>
        <w:t>жарной охраны</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266CD8">
        <w:rPr>
          <w:b/>
          <w:color w:val="FF0000"/>
          <w:sz w:val="20"/>
          <w:szCs w:val="20"/>
        </w:rPr>
        <w:t>14</w:t>
      </w:r>
      <w:r w:rsidRPr="00F80490">
        <w:rPr>
          <w:b/>
          <w:color w:val="FF0000"/>
          <w:sz w:val="20"/>
          <w:szCs w:val="20"/>
        </w:rPr>
        <w:t xml:space="preserve">-ЗК от </w:t>
      </w:r>
      <w:r w:rsidR="00266CD8">
        <w:rPr>
          <w:b/>
          <w:color w:val="FF0000"/>
          <w:sz w:val="20"/>
          <w:szCs w:val="20"/>
        </w:rPr>
        <w:t>24</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B22B17">
        <w:rPr>
          <w:sz w:val="20"/>
          <w:szCs w:val="20"/>
        </w:rPr>
        <w:t>1</w:t>
      </w:r>
      <w:r w:rsidR="00266CD8">
        <w:rPr>
          <w:sz w:val="20"/>
          <w:szCs w:val="20"/>
        </w:rPr>
        <w:t>4</w:t>
      </w:r>
      <w:r w:rsidRPr="006A14D6">
        <w:rPr>
          <w:sz w:val="20"/>
          <w:szCs w:val="20"/>
        </w:rPr>
        <w:t>-ЗК от «</w:t>
      </w:r>
      <w:r w:rsidR="00B22B17">
        <w:rPr>
          <w:sz w:val="20"/>
          <w:szCs w:val="20"/>
        </w:rPr>
        <w:t>2</w:t>
      </w:r>
      <w:r w:rsidR="00266CD8">
        <w:rPr>
          <w:sz w:val="20"/>
          <w:szCs w:val="20"/>
        </w:rPr>
        <w:t>4</w:t>
      </w:r>
      <w:r>
        <w:rPr>
          <w:sz w:val="20"/>
          <w:szCs w:val="20"/>
        </w:rPr>
        <w:t>»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B22B17">
            <w:pPr>
              <w:jc w:val="center"/>
              <w:rPr>
                <w:bCs/>
                <w:sz w:val="20"/>
                <w:szCs w:val="20"/>
              </w:rPr>
            </w:pPr>
            <w:r>
              <w:rPr>
                <w:bCs/>
                <w:sz w:val="20"/>
                <w:szCs w:val="20"/>
              </w:rPr>
              <w:t>1</w:t>
            </w:r>
            <w:r w:rsidR="00B22B17">
              <w:rPr>
                <w:bCs/>
                <w:sz w:val="20"/>
                <w:szCs w:val="20"/>
              </w:rPr>
              <w:t>1</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0E" w:rsidRDefault="00EA3C0E">
      <w:r>
        <w:separator/>
      </w:r>
    </w:p>
  </w:endnote>
  <w:endnote w:type="continuationSeparator" w:id="0">
    <w:p w:rsidR="00EA3C0E" w:rsidRDefault="00EA3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87" w:rsidRDefault="00BE5596" w:rsidP="00B020AB">
    <w:pPr>
      <w:pStyle w:val="ac"/>
      <w:framePr w:wrap="auto" w:vAnchor="text" w:hAnchor="margin" w:xAlign="right" w:y="1"/>
      <w:rPr>
        <w:rStyle w:val="ae"/>
      </w:rPr>
    </w:pPr>
    <w:r>
      <w:rPr>
        <w:rStyle w:val="ae"/>
      </w:rPr>
      <w:fldChar w:fldCharType="begin"/>
    </w:r>
    <w:r w:rsidR="00A16087">
      <w:rPr>
        <w:rStyle w:val="ae"/>
      </w:rPr>
      <w:instrText xml:space="preserve">PAGE  </w:instrText>
    </w:r>
    <w:r>
      <w:rPr>
        <w:rStyle w:val="ae"/>
      </w:rPr>
      <w:fldChar w:fldCharType="separate"/>
    </w:r>
    <w:r w:rsidR="00266CD8">
      <w:rPr>
        <w:rStyle w:val="ae"/>
        <w:noProof/>
      </w:rPr>
      <w:t>1</w:t>
    </w:r>
    <w:r>
      <w:rPr>
        <w:rStyle w:val="ae"/>
      </w:rPr>
      <w:fldChar w:fldCharType="end"/>
    </w:r>
  </w:p>
  <w:p w:rsidR="00A16087" w:rsidRDefault="00A1608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0E" w:rsidRDefault="00EA3C0E">
      <w:r>
        <w:separator/>
      </w:r>
    </w:p>
  </w:footnote>
  <w:footnote w:type="continuationSeparator" w:id="0">
    <w:p w:rsidR="00EA3C0E" w:rsidRDefault="00EA3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6">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7"/>
  </w:num>
  <w:num w:numId="3">
    <w:abstractNumId w:val="8"/>
  </w:num>
  <w:num w:numId="4">
    <w:abstractNumId w:val="6"/>
  </w:num>
  <w:num w:numId="5">
    <w:abstractNumId w:val="4"/>
  </w:num>
  <w:num w:numId="6">
    <w:abstractNumId w:val="24"/>
  </w:num>
  <w:num w:numId="7">
    <w:abstractNumId w:val="22"/>
  </w:num>
  <w:num w:numId="8">
    <w:abstractNumId w:val="26"/>
  </w:num>
  <w:num w:numId="9">
    <w:abstractNumId w:val="28"/>
  </w:num>
  <w:num w:numId="10">
    <w:abstractNumId w:val="0"/>
  </w:num>
  <w:num w:numId="11">
    <w:abstractNumId w:val="9"/>
  </w:num>
  <w:num w:numId="12">
    <w:abstractNumId w:val="17"/>
  </w:num>
  <w:num w:numId="13">
    <w:abstractNumId w:val="7"/>
  </w:num>
  <w:num w:numId="14">
    <w:abstractNumId w:val="23"/>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4"/>
  </w:num>
  <w:num w:numId="21">
    <w:abstractNumId w:val="16"/>
  </w:num>
  <w:num w:numId="22">
    <w:abstractNumId w:val="29"/>
  </w:num>
  <w:num w:numId="23">
    <w:abstractNumId w:val="31"/>
  </w:num>
  <w:num w:numId="24">
    <w:abstractNumId w:val="15"/>
  </w:num>
  <w:num w:numId="25">
    <w:abstractNumId w:val="25"/>
  </w:num>
  <w:num w:numId="26">
    <w:abstractNumId w:val="33"/>
  </w:num>
  <w:num w:numId="27">
    <w:abstractNumId w:val="32"/>
  </w:num>
  <w:num w:numId="28">
    <w:abstractNumId w:val="18"/>
  </w:num>
  <w:num w:numId="29">
    <w:abstractNumId w:val="11"/>
  </w:num>
  <w:num w:numId="30">
    <w:abstractNumId w:val="3"/>
  </w:num>
  <w:num w:numId="31">
    <w:abstractNumId w:val="30"/>
  </w:num>
  <w:num w:numId="32">
    <w:abstractNumId w:val="10"/>
  </w:num>
  <w:num w:numId="33">
    <w:abstractNumId w:val="19"/>
  </w:num>
  <w:num w:numId="34">
    <w:abstractNumId w:val="20"/>
  </w:num>
  <w:num w:numId="35">
    <w:abstractNumId w:val="12"/>
  </w:num>
  <w:num w:numId="36">
    <w:abstractNumId w:val="5"/>
  </w:num>
  <w:num w:numId="37">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Normal">
    <w:name w:val="Normal"/>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92B2-8D30-4EC7-83FB-9DC3D11B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10</Pages>
  <Words>6655</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44501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209</cp:revision>
  <cp:lastPrinted>2011-12-07T05:49:00Z</cp:lastPrinted>
  <dcterms:created xsi:type="dcterms:W3CDTF">2014-05-27T01:29:00Z</dcterms:created>
  <dcterms:modified xsi:type="dcterms:W3CDTF">2020-01-24T06:10:00Z</dcterms:modified>
</cp:coreProperties>
</file>