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C349BA">
        <w:rPr>
          <w:b w:val="0"/>
          <w:bCs w:val="0"/>
          <w:sz w:val="20"/>
          <w:szCs w:val="20"/>
        </w:rPr>
        <w:t>17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349BA">
        <w:rPr>
          <w:sz w:val="20"/>
          <w:szCs w:val="20"/>
        </w:rPr>
        <w:t>08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349BA">
        <w:rPr>
          <w:sz w:val="20"/>
          <w:szCs w:val="20"/>
        </w:rPr>
        <w:t>17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756CCF">
        <w:rPr>
          <w:bCs/>
          <w:sz w:val="20"/>
          <w:szCs w:val="20"/>
        </w:rPr>
        <w:t xml:space="preserve"> </w:t>
      </w:r>
      <w:r w:rsidR="00C349BA">
        <w:rPr>
          <w:bCs/>
          <w:sz w:val="20"/>
          <w:szCs w:val="20"/>
        </w:rPr>
        <w:t>фрукты и овощи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01.24.10.000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«Гала», «Чемп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он» или эквив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яблоко свежее.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</w:t>
            </w:r>
            <w:r>
              <w:rPr>
                <w:sz w:val="20"/>
                <w:szCs w:val="20"/>
              </w:rPr>
              <w:t>, однора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мерные</w:t>
            </w:r>
            <w:r w:rsidRPr="00905ECF">
              <w:rPr>
                <w:sz w:val="20"/>
                <w:szCs w:val="20"/>
              </w:rPr>
              <w:t>. Типичные для помологического сорта фор</w:t>
            </w:r>
            <w:r>
              <w:rPr>
                <w:sz w:val="20"/>
                <w:szCs w:val="20"/>
              </w:rPr>
              <w:t>мы</w:t>
            </w:r>
            <w:r w:rsidRPr="00905ECF">
              <w:rPr>
                <w:sz w:val="20"/>
                <w:szCs w:val="20"/>
              </w:rPr>
              <w:t>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– зеленый, красный, желто-красный, желтый.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(сладки, кисло-сладкий, кислый)</w:t>
            </w:r>
            <w:r w:rsidRPr="00905ECF">
              <w:rPr>
                <w:sz w:val="20"/>
                <w:szCs w:val="20"/>
              </w:rPr>
              <w:t>, без постороннего запаха и привк</w:t>
            </w:r>
            <w:r w:rsidRPr="00905ECF">
              <w:rPr>
                <w:sz w:val="20"/>
                <w:szCs w:val="20"/>
              </w:rPr>
              <w:t>у</w:t>
            </w:r>
            <w:r w:rsidRPr="00905ECF">
              <w:rPr>
                <w:sz w:val="20"/>
                <w:szCs w:val="20"/>
              </w:rPr>
              <w:t>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65-80 мм.</w:t>
            </w:r>
          </w:p>
          <w:p w:rsidR="00C349BA" w:rsidRPr="00905ECF" w:rsidRDefault="00C349BA" w:rsidP="00756CCF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01.23.13.000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апельсин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банан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</w:t>
            </w:r>
            <w:r>
              <w:rPr>
                <w:sz w:val="20"/>
                <w:szCs w:val="20"/>
              </w:rPr>
              <w:t>ми и болезнями.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плода – 20-25 см, масса плода 100-140 гр.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51603-2000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01.24.21.000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«Конференция»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груша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33499-2015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49BA" w:rsidRPr="00905ECF" w:rsidTr="00C349BA">
        <w:trPr>
          <w:trHeight w:val="3086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01.23.14.000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мандарин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плода – светло-оранжевый или ора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жевой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01.25.11.000</w:t>
            </w:r>
          </w:p>
        </w:tc>
        <w:tc>
          <w:tcPr>
            <w:tcW w:w="99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киви</w:t>
            </w:r>
            <w:r w:rsidRPr="00905ECF">
              <w:rPr>
                <w:sz w:val="20"/>
                <w:szCs w:val="20"/>
              </w:rPr>
              <w:t xml:space="preserve"> 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31823-2012</w:t>
            </w:r>
          </w:p>
        </w:tc>
        <w:tc>
          <w:tcPr>
            <w:tcW w:w="877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01.13.51.120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продовольственный ка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тофель.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Внешний вид – клубни целые, чистые,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свежие, зрелые, полностью покр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тые плотной кожурой, без излишней вне</w:t>
            </w:r>
            <w:r w:rsidRPr="00905ECF">
              <w:rPr>
                <w:sz w:val="20"/>
                <w:szCs w:val="20"/>
              </w:rPr>
              <w:t>ш</w:t>
            </w:r>
            <w:r w:rsidRPr="00905ECF">
              <w:rPr>
                <w:sz w:val="20"/>
                <w:szCs w:val="20"/>
              </w:rPr>
              <w:t>ней влажности, не проросшие, не увядшие, без повреждений сельскохозяйственными вредителями, без коричневых пятен, в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званных воздействием тепла, не позелене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внутренней части – отсутствуют пятна ржавой (железистой) пятнистости, внутре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ние пустоты, черная сердцевина, темные пятна под кожурой.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Форма клубней – округло-овальная.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Размер клубней – не менее </w:t>
            </w:r>
            <w:r>
              <w:rPr>
                <w:sz w:val="20"/>
                <w:szCs w:val="20"/>
              </w:rPr>
              <w:t>60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7176-2017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324A0B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01.13.41.110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морковь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целые, свежие, здоровые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lastRenderedPageBreak/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речному диаметру – не менее </w:t>
            </w:r>
            <w:r>
              <w:rPr>
                <w:sz w:val="20"/>
                <w:szCs w:val="20"/>
              </w:rPr>
              <w:t>3</w:t>
            </w:r>
            <w:r w:rsidRPr="00905ECF">
              <w:rPr>
                <w:sz w:val="20"/>
                <w:szCs w:val="20"/>
              </w:rPr>
              <w:t xml:space="preserve">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 г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20"/>
              </w:rPr>
            </w:pPr>
            <w:r w:rsidRPr="00905ECF">
              <w:rPr>
                <w:sz w:val="20"/>
              </w:rPr>
              <w:t>Соответствие ГОСТ 1721-85.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01.13.43.110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лук репчатый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луковицы вызревшие,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чистые, целые, не проросшие,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дителями, типичной для ботанического со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та формы и окраски, с сухими наружными чешуями и высушенной шейкой.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луковиц по наибольшему попере</w:t>
            </w:r>
            <w:r w:rsidRPr="00905ECF">
              <w:rPr>
                <w:sz w:val="20"/>
                <w:szCs w:val="20"/>
              </w:rPr>
              <w:t>ч</w:t>
            </w:r>
            <w:r w:rsidRPr="00905ECF">
              <w:rPr>
                <w:sz w:val="20"/>
                <w:szCs w:val="20"/>
              </w:rPr>
              <w:t>ному диаметру – не менее 6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капуста белокочанная свежая.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кочаны свежие, плотные, целые, здоровые, чистые, сформировавши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ся, </w:t>
            </w:r>
            <w:proofErr w:type="spellStart"/>
            <w:r w:rsidRPr="00905ECF">
              <w:rPr>
                <w:sz w:val="20"/>
                <w:szCs w:val="20"/>
              </w:rPr>
              <w:t>непроросшие</w:t>
            </w:r>
            <w:proofErr w:type="spellEnd"/>
            <w:r w:rsidRPr="00905ECF">
              <w:rPr>
                <w:sz w:val="20"/>
                <w:szCs w:val="20"/>
              </w:rPr>
              <w:t>, типичной для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ского сорта формы и окраски, без повре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с чистым срезом кочерыги.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Масса зачищенного кочана – не менее 0,5 кг.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 w:rsidRPr="00905ECF">
              <w:rPr>
                <w:sz w:val="20"/>
                <w:szCs w:val="20"/>
              </w:rPr>
              <w:t>Р</w:t>
            </w:r>
            <w:proofErr w:type="gramEnd"/>
            <w:r w:rsidRPr="00905ECF">
              <w:rPr>
                <w:sz w:val="20"/>
                <w:szCs w:val="20"/>
              </w:rPr>
              <w:t xml:space="preserve"> 51809-2001.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349BA" w:rsidRPr="00905ECF" w:rsidTr="00C349BA">
        <w:trPr>
          <w:trHeight w:val="713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свекла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те</w:t>
            </w:r>
            <w:r w:rsidRPr="00905ECF">
              <w:rPr>
                <w:sz w:val="20"/>
                <w:szCs w:val="20"/>
              </w:rPr>
              <w:t>м</w:t>
            </w:r>
            <w:r w:rsidRPr="00905ECF">
              <w:rPr>
                <w:sz w:val="20"/>
                <w:szCs w:val="20"/>
              </w:rPr>
              <w:t>но-красная разных оттенков в зависимости от особенностей ботанического сорта.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речному диаметру – не менее 7 см.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Соответствие ГОСТ 1722-85.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огурец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lastRenderedPageBreak/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2019-2020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33932-2016.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томат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2019-2020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34298-2017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кабачок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кой, с типичной для ботанического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31822-2012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петрушка свежая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8</w:t>
            </w:r>
            <w:r w:rsidRPr="00905ECF">
              <w:rPr>
                <w:sz w:val="20"/>
                <w:szCs w:val="20"/>
              </w:rPr>
              <w:t>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2019-2020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34212-2017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укроп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2019-2020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32856-2014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салат листовой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(листья и розетки) целые,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молодые, свежие,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тые, без излишней внешней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</w:t>
            </w:r>
            <w:r w:rsidRPr="00905ECF">
              <w:rPr>
                <w:sz w:val="20"/>
                <w:szCs w:val="20"/>
              </w:rPr>
              <w:t>ь</w:t>
            </w:r>
            <w:r w:rsidRPr="00905ECF">
              <w:rPr>
                <w:sz w:val="20"/>
                <w:szCs w:val="20"/>
              </w:rPr>
              <w:t xml:space="preserve">скохозяйственными вредителями, </w:t>
            </w:r>
            <w:r>
              <w:rPr>
                <w:sz w:val="20"/>
                <w:szCs w:val="20"/>
              </w:rPr>
              <w:t>без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знаков огрубления, </w:t>
            </w:r>
            <w:proofErr w:type="spellStart"/>
            <w:r>
              <w:rPr>
                <w:sz w:val="20"/>
                <w:szCs w:val="20"/>
              </w:rPr>
              <w:t>подмораживания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2019-2020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33985-2016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C349BA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349BA" w:rsidRPr="00905ECF" w:rsidTr="00C349BA">
        <w:trPr>
          <w:trHeight w:val="1533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10.39.25.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</w:t>
            </w:r>
            <w:r>
              <w:rPr>
                <w:sz w:val="20"/>
                <w:szCs w:val="20"/>
              </w:rPr>
              <w:t xml:space="preserve"> чернослив (</w:t>
            </w:r>
            <w:proofErr w:type="gramStart"/>
            <w:r w:rsidRPr="00905ECF">
              <w:rPr>
                <w:sz w:val="20"/>
                <w:szCs w:val="20"/>
              </w:rPr>
              <w:t>сушенны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905ECF">
              <w:rPr>
                <w:sz w:val="20"/>
                <w:szCs w:val="20"/>
              </w:rPr>
              <w:t xml:space="preserve"> плод</w:t>
            </w:r>
            <w:r>
              <w:rPr>
                <w:sz w:val="20"/>
                <w:szCs w:val="20"/>
              </w:rPr>
              <w:t xml:space="preserve"> сливы без косточки)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приплюснутый сушеный фрукт, овальной формы, с выдавленной косточкой</w:t>
            </w:r>
            <w:r w:rsidRPr="00905ECF">
              <w:rPr>
                <w:sz w:val="20"/>
                <w:szCs w:val="20"/>
              </w:rPr>
              <w:t>, без плесени</w:t>
            </w:r>
            <w:r>
              <w:rPr>
                <w:sz w:val="20"/>
                <w:szCs w:val="20"/>
              </w:rPr>
              <w:t>, не слипаются при сжатии</w:t>
            </w:r>
            <w:r w:rsidRPr="00905ECF">
              <w:rPr>
                <w:sz w:val="20"/>
                <w:szCs w:val="20"/>
              </w:rPr>
              <w:t xml:space="preserve">. 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ному товару,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влаги – не более 19 %.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от </w:t>
            </w:r>
            <w:proofErr w:type="gramStart"/>
            <w:r>
              <w:rPr>
                <w:sz w:val="20"/>
                <w:szCs w:val="20"/>
              </w:rPr>
              <w:t>черного</w:t>
            </w:r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буровато-коричнего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фруктов и ягод – не позднее </w:t>
            </w:r>
            <w:r w:rsidR="00F85E75">
              <w:rPr>
                <w:sz w:val="20"/>
                <w:szCs w:val="20"/>
              </w:rPr>
              <w:t>2019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ГОСТ 32896-2014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5E75" w:rsidRPr="00905ECF" w:rsidTr="00C349BA">
        <w:trPr>
          <w:trHeight w:val="1533"/>
          <w:jc w:val="center"/>
        </w:trPr>
        <w:tc>
          <w:tcPr>
            <w:tcW w:w="622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6" w:type="dxa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01.13.49.130</w:t>
            </w:r>
          </w:p>
        </w:tc>
        <w:tc>
          <w:tcPr>
            <w:tcW w:w="996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F85E75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4036" w:type="dxa"/>
          </w:tcPr>
          <w:p w:rsidR="00F85E75" w:rsidRPr="00905ECF" w:rsidRDefault="00F85E75" w:rsidP="0092355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 xml:space="preserve">редис </w:t>
            </w:r>
            <w:r w:rsidRPr="00905ECF">
              <w:rPr>
                <w:sz w:val="20"/>
                <w:szCs w:val="20"/>
              </w:rPr>
              <w:t>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92355B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F85E75" w:rsidRPr="00905ECF" w:rsidRDefault="00F85E75" w:rsidP="0092355B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F85E75" w:rsidRPr="00905ECF" w:rsidRDefault="00F85E75" w:rsidP="0092355B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ра</w:t>
            </w:r>
            <w:r w:rsidRPr="00905ECF">
              <w:rPr>
                <w:sz w:val="20"/>
                <w:szCs w:val="20"/>
              </w:rPr>
              <w:t>з</w:t>
            </w:r>
            <w:r w:rsidRPr="00905ECF">
              <w:rPr>
                <w:sz w:val="20"/>
                <w:szCs w:val="20"/>
              </w:rPr>
              <w:t>ных оттенков</w:t>
            </w:r>
            <w:r>
              <w:rPr>
                <w:sz w:val="20"/>
                <w:szCs w:val="20"/>
              </w:rPr>
              <w:t xml:space="preserve"> белого цвета</w:t>
            </w:r>
            <w:r w:rsidRPr="00905ECF">
              <w:rPr>
                <w:sz w:val="20"/>
                <w:szCs w:val="20"/>
              </w:rPr>
              <w:t xml:space="preserve"> в зависимости от особенностей ботанического сорта.</w:t>
            </w:r>
          </w:p>
          <w:p w:rsidR="00F85E75" w:rsidRPr="00905ECF" w:rsidRDefault="00F85E75" w:rsidP="0092355B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полиэтиленовый пакет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92355B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2019</w:t>
            </w:r>
            <w:r w:rsidR="00192E81">
              <w:rPr>
                <w:sz w:val="20"/>
                <w:szCs w:val="20"/>
              </w:rPr>
              <w:t>-2020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F85E75" w:rsidRPr="00905ECF" w:rsidRDefault="00F85E75" w:rsidP="00F85E75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F85E75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84A59">
        <w:rPr>
          <w:b/>
          <w:color w:val="FF0000"/>
          <w:sz w:val="20"/>
          <w:szCs w:val="20"/>
        </w:rPr>
        <w:t>94 142,20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C84A59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C84A59">
        <w:rPr>
          <w:i/>
          <w:sz w:val="20"/>
          <w:szCs w:val="20"/>
        </w:rPr>
        <w:t>девяносто четыре</w:t>
      </w:r>
      <w:r w:rsidR="00547BF0">
        <w:rPr>
          <w:i/>
          <w:sz w:val="20"/>
          <w:szCs w:val="20"/>
        </w:rPr>
        <w:t xml:space="preserve"> тысяч</w:t>
      </w:r>
      <w:r w:rsidR="00EC082E">
        <w:rPr>
          <w:i/>
          <w:sz w:val="20"/>
          <w:szCs w:val="20"/>
        </w:rPr>
        <w:t>и</w:t>
      </w:r>
      <w:r w:rsidR="00547BF0">
        <w:rPr>
          <w:i/>
          <w:sz w:val="20"/>
          <w:szCs w:val="20"/>
        </w:rPr>
        <w:t xml:space="preserve"> </w:t>
      </w:r>
      <w:r w:rsidR="00C84A59">
        <w:rPr>
          <w:i/>
          <w:sz w:val="20"/>
          <w:szCs w:val="20"/>
        </w:rPr>
        <w:t>сто сорок два</w:t>
      </w:r>
      <w:r w:rsidRPr="00AC62C7">
        <w:rPr>
          <w:i/>
          <w:sz w:val="20"/>
          <w:szCs w:val="20"/>
        </w:rPr>
        <w:t xml:space="preserve"> рубл</w:t>
      </w:r>
      <w:r w:rsidR="00C84A59">
        <w:rPr>
          <w:i/>
          <w:sz w:val="20"/>
          <w:szCs w:val="20"/>
        </w:rPr>
        <w:t>я</w:t>
      </w:r>
      <w:r>
        <w:rPr>
          <w:i/>
          <w:sz w:val="20"/>
          <w:szCs w:val="20"/>
        </w:rPr>
        <w:t xml:space="preserve"> </w:t>
      </w:r>
      <w:r w:rsidR="00C84A59">
        <w:rPr>
          <w:i/>
          <w:sz w:val="20"/>
          <w:szCs w:val="20"/>
        </w:rPr>
        <w:t>2</w:t>
      </w:r>
      <w:r w:rsidR="006834C7">
        <w:rPr>
          <w:i/>
          <w:sz w:val="20"/>
          <w:szCs w:val="20"/>
        </w:rPr>
        <w:t xml:space="preserve">0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F85E75" w:rsidRPr="000E7FEE" w:rsidRDefault="00F85E7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607" w:type="dxa"/>
            <w:vAlign w:val="center"/>
          </w:tcPr>
          <w:p w:rsidR="00F85E75" w:rsidRPr="000E7FEE" w:rsidRDefault="00F85E75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13 500,00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F85E75" w:rsidRPr="000E7FEE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143,33</w:t>
            </w:r>
          </w:p>
        </w:tc>
        <w:tc>
          <w:tcPr>
            <w:tcW w:w="2607" w:type="dxa"/>
            <w:vAlign w:val="center"/>
          </w:tcPr>
          <w:p w:rsidR="00F85E75" w:rsidRPr="000E7FEE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8 599,80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F85E75" w:rsidRPr="000E7FEE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131,67</w:t>
            </w:r>
          </w:p>
        </w:tc>
        <w:tc>
          <w:tcPr>
            <w:tcW w:w="2607" w:type="dxa"/>
            <w:vAlign w:val="center"/>
          </w:tcPr>
          <w:p w:rsidR="00F85E75" w:rsidRPr="000E7FEE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6 583,50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11 200,20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5 400,00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183,33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3 666,60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324A0B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12 668,00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Морковь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3 333,60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3 800,40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860,10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8 266,80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161,67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4 850,10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323,33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646,66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323,33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646,66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2607" w:type="dxa"/>
            <w:vAlign w:val="center"/>
          </w:tcPr>
          <w:p w:rsidR="00C84A59" w:rsidRDefault="00C84A59" w:rsidP="00C84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1 333,32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Pr="00905ECF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P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85E75" w:rsidRPr="008A4E15" w:rsidTr="00F85E75">
        <w:trPr>
          <w:trHeight w:val="257"/>
        </w:trPr>
        <w:tc>
          <w:tcPr>
            <w:tcW w:w="2802" w:type="dxa"/>
          </w:tcPr>
          <w:p w:rsidR="00F85E75" w:rsidRDefault="00F85E75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1350" w:type="dxa"/>
            <w:vAlign w:val="center"/>
          </w:tcPr>
          <w:p w:rsidR="00F85E75" w:rsidRPr="0051561C" w:rsidRDefault="00F85E75" w:rsidP="0092355B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F85E75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193,33</w:t>
            </w:r>
          </w:p>
        </w:tc>
        <w:tc>
          <w:tcPr>
            <w:tcW w:w="2607" w:type="dxa"/>
            <w:vAlign w:val="center"/>
          </w:tcPr>
          <w:p w:rsidR="00F85E75" w:rsidRDefault="00C84A59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386,66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C84A59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94 142,20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9F1ED8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9F1ED8">
        <w:rPr>
          <w:b/>
          <w:sz w:val="20"/>
          <w:szCs w:val="20"/>
        </w:rPr>
        <w:t>27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9F1ED8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9F1ED8">
        <w:rPr>
          <w:b/>
          <w:sz w:val="20"/>
          <w:szCs w:val="20"/>
        </w:rPr>
        <w:t>23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9F1ED8">
        <w:rPr>
          <w:b/>
          <w:sz w:val="20"/>
          <w:szCs w:val="20"/>
        </w:rPr>
        <w:t>28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говора, который составляется путем включения условий исполнения договора, предложенных участником закупки в </w:t>
      </w:r>
      <w:r w:rsidRPr="006A14D6">
        <w:rPr>
          <w:sz w:val="20"/>
          <w:szCs w:val="20"/>
        </w:rPr>
        <w:lastRenderedPageBreak/>
        <w:t>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lastRenderedPageBreak/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F1ED8">
        <w:rPr>
          <w:sz w:val="20"/>
          <w:szCs w:val="20"/>
        </w:rPr>
        <w:t>08</w:t>
      </w:r>
      <w:r w:rsidRPr="006A14D6">
        <w:rPr>
          <w:sz w:val="20"/>
          <w:szCs w:val="20"/>
        </w:rPr>
        <w:t>-ЗК от «</w:t>
      </w:r>
      <w:r w:rsidR="009F1ED8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9F1ED8">
        <w:rPr>
          <w:b/>
          <w:color w:val="FF0000"/>
          <w:sz w:val="20"/>
          <w:szCs w:val="20"/>
        </w:rPr>
        <w:t>08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F1ED8">
        <w:rPr>
          <w:b/>
          <w:color w:val="FF0000"/>
          <w:sz w:val="20"/>
          <w:szCs w:val="20"/>
        </w:rPr>
        <w:t>17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F1ED8">
        <w:rPr>
          <w:sz w:val="20"/>
          <w:szCs w:val="20"/>
        </w:rPr>
        <w:t>08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9F1ED8">
        <w:rPr>
          <w:sz w:val="20"/>
          <w:szCs w:val="20"/>
        </w:rPr>
        <w:t>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FF" w:rsidRDefault="005B2AFF">
      <w:r>
        <w:separator/>
      </w:r>
    </w:p>
  </w:endnote>
  <w:endnote w:type="continuationSeparator" w:id="0">
    <w:p w:rsidR="005B2AFF" w:rsidRDefault="005B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BA" w:rsidRDefault="00CB075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49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6CCF">
      <w:rPr>
        <w:rStyle w:val="a9"/>
        <w:noProof/>
      </w:rPr>
      <w:t>5</w:t>
    </w:r>
    <w:r>
      <w:rPr>
        <w:rStyle w:val="a9"/>
      </w:rPr>
      <w:fldChar w:fldCharType="end"/>
    </w:r>
  </w:p>
  <w:p w:rsidR="00C349BA" w:rsidRDefault="00C349B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FF" w:rsidRDefault="005B2AFF">
      <w:r>
        <w:separator/>
      </w:r>
    </w:p>
  </w:footnote>
  <w:footnote w:type="continuationSeparator" w:id="0">
    <w:p w:rsidR="005B2AFF" w:rsidRDefault="005B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4B7E-0864-4AC5-B8B0-AA88132F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13</Pages>
  <Words>7319</Words>
  <Characters>41720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48942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253</cp:revision>
  <cp:lastPrinted>2011-12-07T05:49:00Z</cp:lastPrinted>
  <dcterms:created xsi:type="dcterms:W3CDTF">2014-05-27T01:29:00Z</dcterms:created>
  <dcterms:modified xsi:type="dcterms:W3CDTF">2020-01-17T00:36:00Z</dcterms:modified>
</cp:coreProperties>
</file>