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B4C21">
        <w:rPr>
          <w:b w:val="0"/>
          <w:bCs w:val="0"/>
          <w:sz w:val="20"/>
          <w:szCs w:val="20"/>
        </w:rPr>
        <w:t>16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24B23">
        <w:rPr>
          <w:sz w:val="20"/>
          <w:szCs w:val="20"/>
        </w:rPr>
        <w:t>07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EA7B54" w:rsidRPr="00D3770C" w:rsidTr="00EA7B54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024B23" w:rsidRPr="00D3770C" w:rsidTr="00024B23">
        <w:trPr>
          <w:trHeight w:val="923"/>
          <w:jc w:val="center"/>
        </w:trPr>
        <w:tc>
          <w:tcPr>
            <w:tcW w:w="560" w:type="dxa"/>
            <w:vAlign w:val="center"/>
          </w:tcPr>
          <w:p w:rsidR="00024B23" w:rsidRPr="0051561C" w:rsidRDefault="00024B23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24B23" w:rsidRPr="004003B6" w:rsidRDefault="00024B23" w:rsidP="007B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10.81.11.110</w:t>
            </w:r>
          </w:p>
        </w:tc>
        <w:tc>
          <w:tcPr>
            <w:tcW w:w="1134" w:type="dxa"/>
            <w:vAlign w:val="center"/>
          </w:tcPr>
          <w:p w:rsidR="00024B23" w:rsidRPr="00713F78" w:rsidRDefault="00024B23" w:rsidP="00024B23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81</w:t>
            </w:r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Сахар-песок</w:t>
            </w:r>
          </w:p>
        </w:tc>
        <w:tc>
          <w:tcPr>
            <w:tcW w:w="3615" w:type="dxa"/>
            <w:vAlign w:val="center"/>
          </w:tcPr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Сахар-песок - сыпучий, белого цвета, с хара</w:t>
            </w:r>
            <w:r w:rsidRPr="002C0F93">
              <w:rPr>
                <w:sz w:val="16"/>
                <w:szCs w:val="16"/>
              </w:rPr>
              <w:t>к</w:t>
            </w:r>
            <w:r w:rsidRPr="002C0F93">
              <w:rPr>
                <w:sz w:val="16"/>
                <w:szCs w:val="16"/>
              </w:rPr>
              <w:t>терным блеском, вкус сахара-песка и его водного раствора сладкий, без постороннего при</w:t>
            </w:r>
            <w:r w:rsidRPr="002C0F93">
              <w:rPr>
                <w:sz w:val="16"/>
                <w:szCs w:val="16"/>
              </w:rPr>
              <w:t>в</w:t>
            </w:r>
            <w:r w:rsidRPr="002C0F93">
              <w:rPr>
                <w:sz w:val="16"/>
                <w:szCs w:val="16"/>
              </w:rPr>
              <w:t>куса.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Упаковка: герметичный полимерный мешок. Вес 10 кг.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Соответствие ГОСТ 33222-2015.</w:t>
            </w:r>
          </w:p>
        </w:tc>
        <w:tc>
          <w:tcPr>
            <w:tcW w:w="1134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024B23" w:rsidRPr="00024B23" w:rsidRDefault="00024B23" w:rsidP="00024B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80</w:t>
            </w:r>
          </w:p>
        </w:tc>
      </w:tr>
      <w:tr w:rsidR="00024B23" w:rsidRPr="00D3770C" w:rsidTr="00024B23">
        <w:trPr>
          <w:trHeight w:val="132"/>
          <w:jc w:val="center"/>
        </w:trPr>
        <w:tc>
          <w:tcPr>
            <w:tcW w:w="560" w:type="dxa"/>
            <w:vAlign w:val="center"/>
          </w:tcPr>
          <w:p w:rsidR="00024B23" w:rsidRPr="0051561C" w:rsidRDefault="00024B23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24B23" w:rsidRPr="004003B6" w:rsidRDefault="00024B23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10.51.22.111</w:t>
            </w:r>
          </w:p>
        </w:tc>
        <w:tc>
          <w:tcPr>
            <w:tcW w:w="1134" w:type="dxa"/>
            <w:vAlign w:val="center"/>
          </w:tcPr>
          <w:p w:rsidR="00024B23" w:rsidRPr="00AE5945" w:rsidRDefault="00024B23" w:rsidP="00024B23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72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Молоко сухое</w:t>
            </w:r>
          </w:p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«Филимон</w:t>
            </w:r>
            <w:r w:rsidRPr="00024B23">
              <w:rPr>
                <w:sz w:val="20"/>
                <w:szCs w:val="20"/>
              </w:rPr>
              <w:t>о</w:t>
            </w:r>
            <w:r w:rsidRPr="00024B23">
              <w:rPr>
                <w:sz w:val="20"/>
                <w:szCs w:val="20"/>
              </w:rPr>
              <w:t>во», «Купино»</w:t>
            </w:r>
          </w:p>
          <w:p w:rsidR="00024B23" w:rsidRPr="00024B23" w:rsidRDefault="00024B23" w:rsidP="00024B23">
            <w:pPr>
              <w:jc w:val="center"/>
              <w:rPr>
                <w:i/>
                <w:sz w:val="20"/>
                <w:szCs w:val="20"/>
              </w:rPr>
            </w:pPr>
            <w:r w:rsidRPr="00024B23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  <w:vAlign w:val="center"/>
          </w:tcPr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Вид продукции – молоко сухое цельное, масс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 xml:space="preserve">вая доля жира </w:t>
            </w:r>
            <w:r>
              <w:rPr>
                <w:sz w:val="16"/>
                <w:szCs w:val="16"/>
              </w:rPr>
              <w:t xml:space="preserve">не менее </w:t>
            </w:r>
            <w:r w:rsidRPr="002C0F93">
              <w:rPr>
                <w:sz w:val="16"/>
                <w:szCs w:val="16"/>
              </w:rPr>
              <w:t>–  25%.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Внешний вид и консистенция – порошок, с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стоящий из единичных и агломер</w:t>
            </w:r>
            <w:r w:rsidRPr="002C0F93">
              <w:rPr>
                <w:sz w:val="16"/>
                <w:szCs w:val="16"/>
              </w:rPr>
              <w:t>и</w:t>
            </w:r>
            <w:r w:rsidRPr="002C0F93">
              <w:rPr>
                <w:sz w:val="16"/>
                <w:szCs w:val="16"/>
              </w:rPr>
              <w:t>рованных частиц сухого молока. Допускается незначител</w:t>
            </w:r>
            <w:r w:rsidRPr="002C0F93">
              <w:rPr>
                <w:sz w:val="16"/>
                <w:szCs w:val="16"/>
              </w:rPr>
              <w:t>ь</w:t>
            </w:r>
            <w:r w:rsidRPr="002C0F93">
              <w:rPr>
                <w:sz w:val="16"/>
                <w:szCs w:val="16"/>
              </w:rPr>
              <w:t>ное количество к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мочков, рассыпающихся при легком механическом во</w:t>
            </w:r>
            <w:r w:rsidRPr="002C0F93">
              <w:rPr>
                <w:sz w:val="16"/>
                <w:szCs w:val="16"/>
              </w:rPr>
              <w:t>з</w:t>
            </w:r>
            <w:r w:rsidRPr="002C0F93">
              <w:rPr>
                <w:sz w:val="16"/>
                <w:szCs w:val="16"/>
              </w:rPr>
              <w:t>действии.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Цвет – белый, белый со светло-кремовым отте</w:t>
            </w:r>
            <w:r w:rsidRPr="002C0F93">
              <w:rPr>
                <w:sz w:val="16"/>
                <w:szCs w:val="16"/>
              </w:rPr>
              <w:t>н</w:t>
            </w:r>
            <w:r w:rsidRPr="002C0F93">
              <w:rPr>
                <w:sz w:val="16"/>
                <w:szCs w:val="16"/>
              </w:rPr>
              <w:t>ком.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 xml:space="preserve">Вкус и запах – </w:t>
            </w:r>
            <w:proofErr w:type="gramStart"/>
            <w:r w:rsidRPr="002C0F93">
              <w:rPr>
                <w:sz w:val="16"/>
                <w:szCs w:val="16"/>
              </w:rPr>
              <w:t>свойственные</w:t>
            </w:r>
            <w:proofErr w:type="gramEnd"/>
            <w:r w:rsidRPr="002C0F93">
              <w:rPr>
                <w:sz w:val="16"/>
                <w:szCs w:val="16"/>
              </w:rPr>
              <w:t xml:space="preserve"> пастеризованному обезжиренному или цельному молоку без пост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ронних привкусов и запахов. Допускается при</w:t>
            </w:r>
            <w:r w:rsidRPr="002C0F93">
              <w:rPr>
                <w:sz w:val="16"/>
                <w:szCs w:val="16"/>
              </w:rPr>
              <w:t>в</w:t>
            </w:r>
            <w:r w:rsidRPr="002C0F93">
              <w:rPr>
                <w:sz w:val="16"/>
                <w:szCs w:val="16"/>
              </w:rPr>
              <w:t>кус и запах кипячен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 xml:space="preserve">го молока. 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 xml:space="preserve">Упаковка: герметичный полимерный мешок. Вес </w:t>
            </w:r>
            <w:r>
              <w:rPr>
                <w:sz w:val="16"/>
                <w:szCs w:val="16"/>
              </w:rPr>
              <w:t xml:space="preserve">не менее </w:t>
            </w:r>
            <w:r w:rsidRPr="002C0F9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  <w:r w:rsidRPr="002C0F93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 xml:space="preserve"> не более 25 кг</w:t>
            </w:r>
            <w:r w:rsidRPr="002C0F93">
              <w:rPr>
                <w:sz w:val="16"/>
                <w:szCs w:val="16"/>
              </w:rPr>
              <w:t>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 w:rsidRPr="002C0F93">
              <w:rPr>
                <w:sz w:val="16"/>
                <w:szCs w:val="16"/>
              </w:rPr>
              <w:t>Р</w:t>
            </w:r>
            <w:proofErr w:type="gramEnd"/>
            <w:r w:rsidRPr="002C0F93">
              <w:rPr>
                <w:sz w:val="16"/>
                <w:szCs w:val="16"/>
              </w:rPr>
              <w:t xml:space="preserve"> 52791-2007.</w:t>
            </w:r>
          </w:p>
        </w:tc>
        <w:tc>
          <w:tcPr>
            <w:tcW w:w="1134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024B23" w:rsidRPr="00024B23" w:rsidRDefault="00024B23" w:rsidP="00024B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25</w:t>
            </w:r>
          </w:p>
        </w:tc>
      </w:tr>
      <w:tr w:rsidR="00024B23" w:rsidRPr="00D3770C" w:rsidTr="00024B23">
        <w:trPr>
          <w:trHeight w:val="699"/>
          <w:jc w:val="center"/>
        </w:trPr>
        <w:tc>
          <w:tcPr>
            <w:tcW w:w="560" w:type="dxa"/>
            <w:vAlign w:val="center"/>
          </w:tcPr>
          <w:p w:rsidR="00024B23" w:rsidRPr="0051561C" w:rsidRDefault="00024B23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24B23" w:rsidRPr="00713F78" w:rsidRDefault="00024B23" w:rsidP="000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10.51.40.131</w:t>
            </w:r>
          </w:p>
        </w:tc>
        <w:tc>
          <w:tcPr>
            <w:tcW w:w="1134" w:type="dxa"/>
            <w:vAlign w:val="center"/>
          </w:tcPr>
          <w:p w:rsidR="00024B23" w:rsidRPr="0030404F" w:rsidRDefault="00024B23" w:rsidP="00024B23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72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Сыр «Покро</w:t>
            </w:r>
            <w:r w:rsidRPr="00024B23">
              <w:rPr>
                <w:sz w:val="20"/>
                <w:szCs w:val="20"/>
              </w:rPr>
              <w:t>в</w:t>
            </w:r>
            <w:r w:rsidRPr="00024B23">
              <w:rPr>
                <w:sz w:val="20"/>
                <w:szCs w:val="20"/>
              </w:rPr>
              <w:t>ский»</w:t>
            </w:r>
            <w:r>
              <w:rPr>
                <w:sz w:val="20"/>
                <w:szCs w:val="20"/>
              </w:rPr>
              <w:t xml:space="preserve">, </w:t>
            </w:r>
            <w:r w:rsidRPr="00024B23">
              <w:rPr>
                <w:sz w:val="20"/>
                <w:szCs w:val="20"/>
              </w:rPr>
              <w:t>«Голлан</w:t>
            </w:r>
            <w:r w:rsidRPr="00024B23">
              <w:rPr>
                <w:sz w:val="20"/>
                <w:szCs w:val="20"/>
              </w:rPr>
              <w:t>д</w:t>
            </w:r>
            <w:r w:rsidRPr="00024B23">
              <w:rPr>
                <w:sz w:val="20"/>
                <w:szCs w:val="20"/>
              </w:rPr>
              <w:t>ский»,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4B23">
              <w:rPr>
                <w:sz w:val="20"/>
                <w:szCs w:val="20"/>
              </w:rPr>
              <w:t>Мамонт</w:t>
            </w:r>
            <w:r w:rsidRPr="00024B23">
              <w:rPr>
                <w:sz w:val="20"/>
                <w:szCs w:val="20"/>
              </w:rPr>
              <w:t>о</w:t>
            </w:r>
            <w:r w:rsidRPr="00024B23">
              <w:rPr>
                <w:sz w:val="20"/>
                <w:szCs w:val="20"/>
              </w:rPr>
              <w:t>во</w:t>
            </w:r>
            <w:proofErr w:type="spellEnd"/>
            <w:r w:rsidRPr="00024B23">
              <w:rPr>
                <w:sz w:val="20"/>
                <w:szCs w:val="20"/>
              </w:rPr>
              <w:t xml:space="preserve"> или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4B23">
              <w:rPr>
                <w:sz w:val="20"/>
                <w:szCs w:val="20"/>
              </w:rPr>
              <w:t>Усть-Колманка</w:t>
            </w:r>
            <w:proofErr w:type="spellEnd"/>
          </w:p>
          <w:p w:rsidR="00024B23" w:rsidRPr="00024B23" w:rsidRDefault="00024B23" w:rsidP="00024B23">
            <w:pPr>
              <w:jc w:val="center"/>
              <w:rPr>
                <w:i/>
                <w:sz w:val="20"/>
                <w:szCs w:val="20"/>
              </w:rPr>
            </w:pPr>
            <w:r w:rsidRPr="00024B23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  <w:vAlign w:val="center"/>
          </w:tcPr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Вид продукции – сыр твердый, жирность –50%.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Внешний вид – корка ровная, тонкая, без повр</w:t>
            </w:r>
            <w:r w:rsidRPr="002C0F93">
              <w:rPr>
                <w:sz w:val="16"/>
                <w:szCs w:val="16"/>
              </w:rPr>
              <w:t>е</w:t>
            </w:r>
            <w:r w:rsidRPr="002C0F93">
              <w:rPr>
                <w:sz w:val="16"/>
                <w:szCs w:val="16"/>
              </w:rPr>
              <w:t xml:space="preserve">ждения и без толстого </w:t>
            </w:r>
            <w:proofErr w:type="spellStart"/>
            <w:r w:rsidRPr="002C0F93">
              <w:rPr>
                <w:sz w:val="16"/>
                <w:szCs w:val="16"/>
              </w:rPr>
              <w:t>подкровного</w:t>
            </w:r>
            <w:proofErr w:type="spellEnd"/>
            <w:r w:rsidRPr="002C0F93">
              <w:rPr>
                <w:sz w:val="16"/>
                <w:szCs w:val="16"/>
              </w:rPr>
              <w:t xml:space="preserve"> слоя, покр</w:t>
            </w:r>
            <w:r w:rsidRPr="002C0F93">
              <w:rPr>
                <w:sz w:val="16"/>
                <w:szCs w:val="16"/>
              </w:rPr>
              <w:t>ы</w:t>
            </w:r>
            <w:r w:rsidRPr="002C0F93">
              <w:rPr>
                <w:sz w:val="16"/>
                <w:szCs w:val="16"/>
              </w:rPr>
              <w:t>тая специальным парафиновым сост</w:t>
            </w:r>
            <w:r w:rsidRPr="002C0F93">
              <w:rPr>
                <w:sz w:val="16"/>
                <w:szCs w:val="16"/>
              </w:rPr>
              <w:t>а</w:t>
            </w:r>
            <w:r w:rsidRPr="002C0F93">
              <w:rPr>
                <w:sz w:val="16"/>
                <w:szCs w:val="16"/>
              </w:rPr>
              <w:t>вом.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Вкус и запах – выраженный сырный с наличием остроты и легкой кислов</w:t>
            </w:r>
            <w:r w:rsidRPr="002C0F93">
              <w:rPr>
                <w:sz w:val="16"/>
                <w:szCs w:val="16"/>
              </w:rPr>
              <w:t>а</w:t>
            </w:r>
            <w:r w:rsidRPr="002C0F93">
              <w:rPr>
                <w:sz w:val="16"/>
                <w:szCs w:val="16"/>
              </w:rPr>
              <w:t>тости.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Консистенция – тесто пластичное, слегка ломкое на изгибе, одноро</w:t>
            </w:r>
            <w:r w:rsidRPr="002C0F93">
              <w:rPr>
                <w:sz w:val="16"/>
                <w:szCs w:val="16"/>
              </w:rPr>
              <w:t>д</w:t>
            </w:r>
            <w:r w:rsidRPr="002C0F93">
              <w:rPr>
                <w:sz w:val="16"/>
                <w:szCs w:val="16"/>
              </w:rPr>
              <w:t>ное.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Вид на разрезе – рисунок, состоящий из глазков круглой, овальной или угловатой формы, равн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мерно расп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ложенных по всей массе.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lastRenderedPageBreak/>
              <w:t xml:space="preserve">Цвет – от белого </w:t>
            </w:r>
            <w:proofErr w:type="gramStart"/>
            <w:r w:rsidRPr="002C0F93">
              <w:rPr>
                <w:sz w:val="16"/>
                <w:szCs w:val="16"/>
              </w:rPr>
              <w:t>до</w:t>
            </w:r>
            <w:proofErr w:type="gramEnd"/>
            <w:r w:rsidRPr="002C0F93">
              <w:rPr>
                <w:sz w:val="16"/>
                <w:szCs w:val="16"/>
              </w:rPr>
              <w:t xml:space="preserve"> слабо-желтого, одноро</w:t>
            </w:r>
            <w:r w:rsidRPr="002C0F93">
              <w:rPr>
                <w:sz w:val="16"/>
                <w:szCs w:val="16"/>
              </w:rPr>
              <w:t>д</w:t>
            </w:r>
            <w:r w:rsidRPr="002C0F93">
              <w:rPr>
                <w:sz w:val="16"/>
                <w:szCs w:val="16"/>
              </w:rPr>
              <w:t xml:space="preserve">ный по всей массе. 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Упаковка – полимерная.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Соответствие</w:t>
            </w:r>
            <w:r>
              <w:rPr>
                <w:sz w:val="16"/>
                <w:szCs w:val="16"/>
              </w:rPr>
              <w:t xml:space="preserve"> ГОСТ</w:t>
            </w:r>
            <w:r w:rsidRPr="002C0F93">
              <w:rPr>
                <w:sz w:val="16"/>
                <w:szCs w:val="16"/>
              </w:rPr>
              <w:t xml:space="preserve"> </w:t>
            </w:r>
            <w:r w:rsidRPr="00024B23">
              <w:rPr>
                <w:sz w:val="16"/>
                <w:szCs w:val="16"/>
              </w:rPr>
              <w:t>32260-2013</w:t>
            </w:r>
            <w:r w:rsidRPr="002C0F9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024B23" w:rsidRPr="00024B23" w:rsidRDefault="00024B23" w:rsidP="00024B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15</w:t>
            </w:r>
          </w:p>
        </w:tc>
      </w:tr>
      <w:tr w:rsidR="00024B23" w:rsidRPr="00D3770C" w:rsidTr="00024B23">
        <w:trPr>
          <w:trHeight w:val="923"/>
          <w:jc w:val="center"/>
        </w:trPr>
        <w:tc>
          <w:tcPr>
            <w:tcW w:w="560" w:type="dxa"/>
            <w:vAlign w:val="center"/>
          </w:tcPr>
          <w:p w:rsidR="00024B23" w:rsidRPr="0051561C" w:rsidRDefault="00024B23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024B23" w:rsidRDefault="00024B23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10.83.11.120</w:t>
            </w:r>
          </w:p>
        </w:tc>
        <w:tc>
          <w:tcPr>
            <w:tcW w:w="1134" w:type="dxa"/>
            <w:vAlign w:val="center"/>
          </w:tcPr>
          <w:p w:rsidR="00024B23" w:rsidRPr="0030404F" w:rsidRDefault="00024B23" w:rsidP="000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</w:t>
            </w:r>
          </w:p>
        </w:tc>
        <w:tc>
          <w:tcPr>
            <w:tcW w:w="1772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Кофе</w:t>
            </w:r>
          </w:p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sz w:val="20"/>
                <w:szCs w:val="20"/>
              </w:rPr>
              <w:t>«</w:t>
            </w:r>
            <w:proofErr w:type="spellStart"/>
            <w:r w:rsidRPr="00024B23">
              <w:rPr>
                <w:sz w:val="20"/>
                <w:szCs w:val="20"/>
              </w:rPr>
              <w:t>Якобс</w:t>
            </w:r>
            <w:proofErr w:type="spellEnd"/>
            <w:r w:rsidRPr="00024B23">
              <w:rPr>
                <w:sz w:val="20"/>
                <w:szCs w:val="20"/>
              </w:rPr>
              <w:t xml:space="preserve"> М</w:t>
            </w:r>
            <w:r w:rsidRPr="00024B23">
              <w:rPr>
                <w:sz w:val="20"/>
                <w:szCs w:val="20"/>
              </w:rPr>
              <w:t>о</w:t>
            </w:r>
            <w:r w:rsidRPr="00024B23">
              <w:rPr>
                <w:sz w:val="20"/>
                <w:szCs w:val="20"/>
              </w:rPr>
              <w:t>нарх»</w:t>
            </w:r>
          </w:p>
          <w:p w:rsidR="00024B23" w:rsidRPr="00024B23" w:rsidRDefault="00024B23" w:rsidP="00024B23">
            <w:pPr>
              <w:jc w:val="center"/>
              <w:rPr>
                <w:sz w:val="20"/>
                <w:szCs w:val="20"/>
              </w:rPr>
            </w:pPr>
            <w:r w:rsidRPr="00024B23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  <w:vAlign w:val="center"/>
          </w:tcPr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Вид продукции – кофе натуральный раствор</w:t>
            </w:r>
            <w:r w:rsidRPr="002C0F93">
              <w:rPr>
                <w:sz w:val="16"/>
                <w:szCs w:val="16"/>
              </w:rPr>
              <w:t>и</w:t>
            </w:r>
            <w:r w:rsidRPr="002C0F93">
              <w:rPr>
                <w:sz w:val="16"/>
                <w:szCs w:val="16"/>
              </w:rPr>
              <w:t>мый су</w:t>
            </w:r>
            <w:r w:rsidRPr="002C0F93">
              <w:rPr>
                <w:sz w:val="16"/>
                <w:szCs w:val="16"/>
              </w:rPr>
              <w:t>б</w:t>
            </w:r>
            <w:r w:rsidRPr="002C0F93">
              <w:rPr>
                <w:sz w:val="16"/>
                <w:szCs w:val="16"/>
              </w:rPr>
              <w:t>лимированный.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Внешний вид – частицы плотной структуры различных форм и размеров, с гладкой или сле</w:t>
            </w:r>
            <w:r w:rsidRPr="002C0F93">
              <w:rPr>
                <w:sz w:val="16"/>
                <w:szCs w:val="16"/>
              </w:rPr>
              <w:t>г</w:t>
            </w:r>
            <w:r w:rsidRPr="002C0F93">
              <w:rPr>
                <w:sz w:val="16"/>
                <w:szCs w:val="16"/>
              </w:rPr>
              <w:t>ка шероховатой поверхностью.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 xml:space="preserve">Цвет – От </w:t>
            </w:r>
            <w:proofErr w:type="gramStart"/>
            <w:r w:rsidRPr="002C0F93">
              <w:rPr>
                <w:sz w:val="16"/>
                <w:szCs w:val="16"/>
              </w:rPr>
              <w:t>светлого</w:t>
            </w:r>
            <w:proofErr w:type="gramEnd"/>
            <w:r w:rsidRPr="002C0F93">
              <w:rPr>
                <w:sz w:val="16"/>
                <w:szCs w:val="16"/>
              </w:rPr>
              <w:t xml:space="preserve"> до темно-коричневого, одн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>родный по интенси</w:t>
            </w:r>
            <w:r w:rsidRPr="002C0F93">
              <w:rPr>
                <w:sz w:val="16"/>
                <w:szCs w:val="16"/>
              </w:rPr>
              <w:t>в</w:t>
            </w:r>
            <w:r w:rsidRPr="002C0F93">
              <w:rPr>
                <w:sz w:val="16"/>
                <w:szCs w:val="16"/>
              </w:rPr>
              <w:t>ности.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 xml:space="preserve">Вкус и аромат – </w:t>
            </w:r>
            <w:proofErr w:type="gramStart"/>
            <w:r w:rsidRPr="002C0F93">
              <w:rPr>
                <w:sz w:val="16"/>
                <w:szCs w:val="16"/>
              </w:rPr>
              <w:t>выраженные</w:t>
            </w:r>
            <w:proofErr w:type="gramEnd"/>
            <w:r w:rsidRPr="002C0F93">
              <w:rPr>
                <w:sz w:val="16"/>
                <w:szCs w:val="16"/>
              </w:rPr>
              <w:t>, с различными оттенками, свойственными данному проду</w:t>
            </w:r>
            <w:r w:rsidRPr="002C0F93">
              <w:rPr>
                <w:sz w:val="16"/>
                <w:szCs w:val="16"/>
              </w:rPr>
              <w:t>к</w:t>
            </w:r>
            <w:r w:rsidRPr="002C0F93">
              <w:rPr>
                <w:sz w:val="16"/>
                <w:szCs w:val="16"/>
              </w:rPr>
              <w:t>ту.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Упаковка – индивидуальный пакет вместим</w:t>
            </w:r>
            <w:r w:rsidRPr="002C0F93">
              <w:rPr>
                <w:sz w:val="16"/>
                <w:szCs w:val="16"/>
              </w:rPr>
              <w:t>о</w:t>
            </w:r>
            <w:r w:rsidRPr="002C0F93">
              <w:rPr>
                <w:sz w:val="16"/>
                <w:szCs w:val="16"/>
              </w:rPr>
              <w:t xml:space="preserve">стью </w:t>
            </w:r>
            <w:r>
              <w:rPr>
                <w:sz w:val="16"/>
                <w:szCs w:val="16"/>
              </w:rPr>
              <w:t>от 150 до 240</w:t>
            </w:r>
            <w:r w:rsidRPr="002C0F93">
              <w:rPr>
                <w:sz w:val="16"/>
                <w:szCs w:val="16"/>
              </w:rPr>
              <w:t xml:space="preserve"> г.</w:t>
            </w:r>
          </w:p>
          <w:p w:rsidR="00024B23" w:rsidRPr="002C0F93" w:rsidRDefault="00024B23" w:rsidP="00024B23">
            <w:pPr>
              <w:jc w:val="both"/>
              <w:rPr>
                <w:sz w:val="16"/>
                <w:szCs w:val="16"/>
              </w:rPr>
            </w:pPr>
            <w:r w:rsidRPr="002C0F93">
              <w:rPr>
                <w:sz w:val="16"/>
                <w:szCs w:val="16"/>
              </w:rPr>
              <w:t>Соответствие ГОСТ 32776-2014.</w:t>
            </w:r>
          </w:p>
        </w:tc>
        <w:tc>
          <w:tcPr>
            <w:tcW w:w="1134" w:type="dxa"/>
            <w:vAlign w:val="center"/>
          </w:tcPr>
          <w:p w:rsidR="00024B23" w:rsidRPr="00024B23" w:rsidRDefault="00024B23" w:rsidP="00024B23">
            <w:pPr>
              <w:jc w:val="center"/>
              <w:rPr>
                <w:sz w:val="20"/>
              </w:rPr>
            </w:pPr>
            <w:r w:rsidRPr="00024B23">
              <w:rPr>
                <w:sz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024B23" w:rsidRPr="00024B23" w:rsidRDefault="00024B23" w:rsidP="00024B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4B23">
              <w:rPr>
                <w:sz w:val="20"/>
              </w:rPr>
              <w:t>1,2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C082E">
        <w:rPr>
          <w:b/>
          <w:color w:val="FF0000"/>
          <w:sz w:val="20"/>
          <w:szCs w:val="20"/>
        </w:rPr>
        <w:t>23 040,00</w:t>
      </w:r>
      <w:r w:rsidR="007B4C21">
        <w:rPr>
          <w:b/>
          <w:color w:val="FF0000"/>
          <w:sz w:val="20"/>
          <w:szCs w:val="20"/>
        </w:rPr>
        <w:t>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EC082E">
        <w:rPr>
          <w:i/>
          <w:sz w:val="20"/>
          <w:szCs w:val="20"/>
        </w:rPr>
        <w:t>двадцать три</w:t>
      </w:r>
      <w:r w:rsidR="00547BF0">
        <w:rPr>
          <w:i/>
          <w:sz w:val="20"/>
          <w:szCs w:val="20"/>
        </w:rPr>
        <w:t xml:space="preserve"> тысяч</w:t>
      </w:r>
      <w:r w:rsidR="00EC082E">
        <w:rPr>
          <w:i/>
          <w:sz w:val="20"/>
          <w:szCs w:val="20"/>
        </w:rPr>
        <w:t>и</w:t>
      </w:r>
      <w:r w:rsidR="00547BF0">
        <w:rPr>
          <w:i/>
          <w:sz w:val="20"/>
          <w:szCs w:val="20"/>
        </w:rPr>
        <w:t xml:space="preserve"> </w:t>
      </w:r>
      <w:r w:rsidR="00EC082E">
        <w:rPr>
          <w:i/>
          <w:sz w:val="20"/>
          <w:szCs w:val="20"/>
        </w:rPr>
        <w:t>сорок</w:t>
      </w:r>
      <w:r w:rsidRPr="00AC62C7">
        <w:rPr>
          <w:i/>
          <w:sz w:val="20"/>
          <w:szCs w:val="20"/>
        </w:rPr>
        <w:t xml:space="preserve"> 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24B23" w:rsidRPr="008A4E15" w:rsidTr="000E7FEE">
        <w:trPr>
          <w:trHeight w:val="257"/>
        </w:trPr>
        <w:tc>
          <w:tcPr>
            <w:tcW w:w="2802" w:type="dxa"/>
            <w:vAlign w:val="center"/>
          </w:tcPr>
          <w:p w:rsidR="00024B23" w:rsidRPr="00713F78" w:rsidRDefault="00024B23" w:rsidP="007B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Сахар-песок</w:t>
            </w:r>
          </w:p>
        </w:tc>
        <w:tc>
          <w:tcPr>
            <w:tcW w:w="1350" w:type="dxa"/>
            <w:vAlign w:val="center"/>
          </w:tcPr>
          <w:p w:rsidR="00024B23" w:rsidRPr="0051561C" w:rsidRDefault="00024B23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24B23" w:rsidRPr="0051561C" w:rsidRDefault="00024B23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66" w:type="dxa"/>
            <w:vAlign w:val="center"/>
          </w:tcPr>
          <w:p w:rsidR="00024B23" w:rsidRPr="000E7FEE" w:rsidRDefault="00024B2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2607" w:type="dxa"/>
            <w:vAlign w:val="center"/>
          </w:tcPr>
          <w:p w:rsidR="00024B23" w:rsidRPr="000E7FEE" w:rsidRDefault="00024B2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024B23" w:rsidRPr="008A4E15" w:rsidTr="000E7FEE">
        <w:trPr>
          <w:trHeight w:val="257"/>
        </w:trPr>
        <w:tc>
          <w:tcPr>
            <w:tcW w:w="2802" w:type="dxa"/>
            <w:vAlign w:val="center"/>
          </w:tcPr>
          <w:p w:rsidR="00024B23" w:rsidRPr="0030404F" w:rsidRDefault="00024B23" w:rsidP="0002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сухое</w:t>
            </w:r>
          </w:p>
        </w:tc>
        <w:tc>
          <w:tcPr>
            <w:tcW w:w="1350" w:type="dxa"/>
            <w:vAlign w:val="center"/>
          </w:tcPr>
          <w:p w:rsidR="00024B23" w:rsidRPr="0051561C" w:rsidRDefault="00024B23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24B23" w:rsidRDefault="00024B23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vAlign w:val="center"/>
          </w:tcPr>
          <w:p w:rsidR="00024B23" w:rsidRPr="000E7FEE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2607" w:type="dxa"/>
            <w:vAlign w:val="center"/>
          </w:tcPr>
          <w:p w:rsidR="00024B23" w:rsidRPr="000E7FEE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8 875,00</w:t>
            </w:r>
          </w:p>
        </w:tc>
      </w:tr>
      <w:tr w:rsidR="00024B23" w:rsidRPr="008A4E15" w:rsidTr="000E7FEE">
        <w:trPr>
          <w:trHeight w:val="257"/>
        </w:trPr>
        <w:tc>
          <w:tcPr>
            <w:tcW w:w="2802" w:type="dxa"/>
            <w:vAlign w:val="center"/>
          </w:tcPr>
          <w:p w:rsidR="00024B23" w:rsidRPr="0030404F" w:rsidRDefault="00024B23" w:rsidP="00024B23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ыр</w:t>
            </w:r>
          </w:p>
        </w:tc>
        <w:tc>
          <w:tcPr>
            <w:tcW w:w="1350" w:type="dxa"/>
            <w:vAlign w:val="center"/>
          </w:tcPr>
          <w:p w:rsidR="00024B23" w:rsidRPr="0051561C" w:rsidRDefault="00024B23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24B23" w:rsidRDefault="00024B23" w:rsidP="007B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024B23" w:rsidRPr="000E7FEE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2607" w:type="dxa"/>
            <w:vAlign w:val="center"/>
          </w:tcPr>
          <w:p w:rsidR="00024B23" w:rsidRPr="000E7FEE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7 650,00</w:t>
            </w:r>
          </w:p>
        </w:tc>
      </w:tr>
      <w:tr w:rsidR="00024B23" w:rsidRPr="008A4E15" w:rsidTr="000E7FEE">
        <w:trPr>
          <w:trHeight w:val="257"/>
        </w:trPr>
        <w:tc>
          <w:tcPr>
            <w:tcW w:w="2802" w:type="dxa"/>
            <w:vAlign w:val="center"/>
          </w:tcPr>
          <w:p w:rsidR="00024B23" w:rsidRPr="0030404F" w:rsidRDefault="00024B23" w:rsidP="0002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</w:t>
            </w:r>
          </w:p>
        </w:tc>
        <w:tc>
          <w:tcPr>
            <w:tcW w:w="1350" w:type="dxa"/>
            <w:vAlign w:val="center"/>
          </w:tcPr>
          <w:p w:rsidR="00024B23" w:rsidRPr="0051561C" w:rsidRDefault="00024B23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24B23" w:rsidRDefault="00024B23" w:rsidP="007B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66" w:type="dxa"/>
            <w:vAlign w:val="center"/>
          </w:tcPr>
          <w:p w:rsidR="00024B23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2 062,50</w:t>
            </w:r>
          </w:p>
        </w:tc>
        <w:tc>
          <w:tcPr>
            <w:tcW w:w="2607" w:type="dxa"/>
            <w:vAlign w:val="center"/>
          </w:tcPr>
          <w:p w:rsidR="00024B23" w:rsidRDefault="00EC082E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2 475,00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EC082E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23 040,00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lastRenderedPageBreak/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lastRenderedPageBreak/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27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C082E">
        <w:rPr>
          <w:sz w:val="20"/>
          <w:szCs w:val="20"/>
        </w:rPr>
        <w:t>07</w:t>
      </w:r>
      <w:r w:rsidRPr="006A14D6">
        <w:rPr>
          <w:sz w:val="20"/>
          <w:szCs w:val="20"/>
        </w:rPr>
        <w:t>-ЗК от «</w:t>
      </w:r>
      <w:r w:rsidR="007B4C21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7B4C21">
        <w:rPr>
          <w:b/>
          <w:color w:val="FF0000"/>
          <w:sz w:val="20"/>
          <w:szCs w:val="20"/>
        </w:rPr>
        <w:t>0</w:t>
      </w:r>
      <w:r w:rsidR="00EC082E">
        <w:rPr>
          <w:b/>
          <w:color w:val="FF0000"/>
          <w:sz w:val="20"/>
          <w:szCs w:val="20"/>
        </w:rPr>
        <w:t>7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B4C21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B4C21">
        <w:rPr>
          <w:sz w:val="20"/>
          <w:szCs w:val="20"/>
        </w:rPr>
        <w:t>0</w:t>
      </w:r>
      <w:r w:rsidR="00EC082E">
        <w:rPr>
          <w:sz w:val="20"/>
          <w:szCs w:val="20"/>
        </w:rPr>
        <w:t>7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87" w:rsidRDefault="00865287">
      <w:r>
        <w:separator/>
      </w:r>
    </w:p>
  </w:endnote>
  <w:endnote w:type="continuationSeparator" w:id="0">
    <w:p w:rsidR="00865287" w:rsidRDefault="0086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23" w:rsidRDefault="00024B2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082E">
      <w:rPr>
        <w:rStyle w:val="a9"/>
        <w:noProof/>
      </w:rPr>
      <w:t>1</w:t>
    </w:r>
    <w:r>
      <w:rPr>
        <w:rStyle w:val="a9"/>
      </w:rPr>
      <w:fldChar w:fldCharType="end"/>
    </w:r>
  </w:p>
  <w:p w:rsidR="00024B23" w:rsidRDefault="00024B2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87" w:rsidRDefault="00865287">
      <w:r>
        <w:separator/>
      </w:r>
    </w:p>
  </w:footnote>
  <w:footnote w:type="continuationSeparator" w:id="0">
    <w:p w:rsidR="00865287" w:rsidRDefault="0086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6214-38C0-437A-8064-AC7B5E1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10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41385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250</cp:revision>
  <cp:lastPrinted>2011-12-07T05:49:00Z</cp:lastPrinted>
  <dcterms:created xsi:type="dcterms:W3CDTF">2014-05-27T01:29:00Z</dcterms:created>
  <dcterms:modified xsi:type="dcterms:W3CDTF">2020-01-16T07:20:00Z</dcterms:modified>
</cp:coreProperties>
</file>