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B4C21">
        <w:rPr>
          <w:b w:val="0"/>
          <w:bCs w:val="0"/>
          <w:sz w:val="20"/>
          <w:szCs w:val="20"/>
        </w:rPr>
        <w:t>16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84BBE">
        <w:rPr>
          <w:sz w:val="20"/>
          <w:szCs w:val="20"/>
        </w:rPr>
        <w:t>06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Каткова Ирина Михайловна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84BBE">
        <w:rPr>
          <w:bCs/>
          <w:sz w:val="20"/>
          <w:szCs w:val="20"/>
        </w:rPr>
        <w:t xml:space="preserve"> – мясо, су</w:t>
      </w:r>
      <w:r w:rsidR="00C84BBE">
        <w:rPr>
          <w:bCs/>
          <w:sz w:val="20"/>
          <w:szCs w:val="20"/>
        </w:rPr>
        <w:t>б</w:t>
      </w:r>
      <w:r w:rsidR="00C84BBE">
        <w:rPr>
          <w:bCs/>
          <w:sz w:val="20"/>
          <w:szCs w:val="20"/>
        </w:rPr>
        <w:t>продукты, рыба, морепродукты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</w:t>
      </w:r>
      <w:r w:rsidR="00130A6B">
        <w:rPr>
          <w:color w:val="0D0D0D"/>
          <w:sz w:val="20"/>
          <w:szCs w:val="20"/>
        </w:rPr>
        <w:t>а</w:t>
      </w:r>
      <w:r w:rsidR="00130A6B">
        <w:rPr>
          <w:color w:val="0D0D0D"/>
          <w:sz w:val="20"/>
          <w:szCs w:val="20"/>
        </w:rPr>
        <w:t>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84BBE" w:rsidRPr="00D3770C" w:rsidTr="00C84BBE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84E05" w:rsidRPr="004003B6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  <w:r w:rsidRPr="004003B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713F78" w:rsidRDefault="00184E05" w:rsidP="00C84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рыба из семейства </w:t>
            </w:r>
            <w:proofErr w:type="gramStart"/>
            <w:r w:rsidRPr="00335F13">
              <w:rPr>
                <w:sz w:val="16"/>
                <w:szCs w:val="16"/>
              </w:rPr>
              <w:t>лососевых</w:t>
            </w:r>
            <w:proofErr w:type="gramEnd"/>
            <w:r w:rsidRPr="00335F13">
              <w:rPr>
                <w:sz w:val="16"/>
                <w:szCs w:val="16"/>
              </w:rPr>
              <w:t>, мороженая, с головой, потрошенная.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5D15B7" w:rsidRDefault="00184E05" w:rsidP="00C84BBE">
            <w:pPr>
              <w:jc w:val="both"/>
              <w:rPr>
                <w:sz w:val="18"/>
                <w:szCs w:val="18"/>
              </w:rPr>
            </w:pPr>
            <w:r w:rsidRPr="00335F13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783B13" w:rsidRDefault="00184E05" w:rsidP="00932AAF">
            <w:pPr>
              <w:jc w:val="center"/>
              <w:rPr>
                <w:sz w:val="20"/>
                <w:szCs w:val="20"/>
                <w:highlight w:val="yellow"/>
              </w:rPr>
            </w:pPr>
            <w:r w:rsidRPr="00184E05">
              <w:rPr>
                <w:sz w:val="20"/>
                <w:szCs w:val="20"/>
              </w:rPr>
              <w:t>22</w:t>
            </w:r>
          </w:p>
        </w:tc>
      </w:tr>
      <w:tr w:rsidR="00184E05" w:rsidRPr="00D3770C" w:rsidTr="00C84BBE">
        <w:trPr>
          <w:trHeight w:val="132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84E05" w:rsidRPr="00AE5945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10.20.13.122</w:t>
            </w:r>
          </w:p>
        </w:tc>
        <w:tc>
          <w:tcPr>
            <w:tcW w:w="1134" w:type="dxa"/>
            <w:vAlign w:val="center"/>
          </w:tcPr>
          <w:p w:rsidR="00184E05" w:rsidRPr="00AE594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Форель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рыба из семейства </w:t>
            </w:r>
            <w:proofErr w:type="gramStart"/>
            <w:r w:rsidRPr="00335F13">
              <w:rPr>
                <w:sz w:val="16"/>
                <w:szCs w:val="16"/>
              </w:rPr>
              <w:t>лососевых</w:t>
            </w:r>
            <w:proofErr w:type="gramEnd"/>
            <w:r w:rsidRPr="00335F13">
              <w:rPr>
                <w:sz w:val="16"/>
                <w:szCs w:val="16"/>
              </w:rPr>
              <w:t xml:space="preserve">, мороженая, </w:t>
            </w:r>
            <w:r>
              <w:rPr>
                <w:sz w:val="16"/>
                <w:szCs w:val="16"/>
              </w:rPr>
              <w:t>без</w:t>
            </w:r>
            <w:r w:rsidRPr="00335F13">
              <w:rPr>
                <w:sz w:val="16"/>
                <w:szCs w:val="16"/>
              </w:rPr>
              <w:t xml:space="preserve"> голов</w:t>
            </w:r>
            <w:r>
              <w:rPr>
                <w:sz w:val="16"/>
                <w:szCs w:val="16"/>
              </w:rPr>
              <w:t>ы</w:t>
            </w:r>
            <w:r w:rsidRPr="00335F13">
              <w:rPr>
                <w:sz w:val="16"/>
                <w:szCs w:val="16"/>
              </w:rPr>
              <w:t>, потрошенная.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AE594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</w:t>
            </w:r>
            <w:r>
              <w:rPr>
                <w:sz w:val="20"/>
                <w:szCs w:val="20"/>
              </w:rPr>
              <w:t>33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Кальмар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Вид продукции – тушка кальмара мороженая.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ровная, чистая, естественной окраски, присущей данному виду.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данному виду.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данному виду.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20414-2011.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</w:t>
            </w:r>
            <w:r>
              <w:rPr>
                <w:sz w:val="20"/>
                <w:szCs w:val="20"/>
              </w:rPr>
              <w:t>13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Камбала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рыба мороженая, </w:t>
            </w:r>
            <w:r>
              <w:rPr>
                <w:sz w:val="16"/>
                <w:szCs w:val="16"/>
              </w:rPr>
              <w:t>без головы</w:t>
            </w:r>
            <w:r w:rsidRPr="00335F13">
              <w:rPr>
                <w:sz w:val="16"/>
                <w:szCs w:val="16"/>
              </w:rPr>
              <w:t>, потрошенная.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10.20.13.122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Кета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рыба из семейства </w:t>
            </w:r>
            <w:proofErr w:type="gramStart"/>
            <w:r w:rsidRPr="00335F13">
              <w:rPr>
                <w:sz w:val="16"/>
                <w:szCs w:val="16"/>
              </w:rPr>
              <w:t>лососевых</w:t>
            </w:r>
            <w:proofErr w:type="gramEnd"/>
            <w:r w:rsidRPr="00335F13">
              <w:rPr>
                <w:sz w:val="16"/>
                <w:szCs w:val="16"/>
              </w:rPr>
              <w:t xml:space="preserve">, мороженая, </w:t>
            </w:r>
            <w:r>
              <w:rPr>
                <w:sz w:val="16"/>
                <w:szCs w:val="16"/>
              </w:rPr>
              <w:t>без головы</w:t>
            </w:r>
            <w:r w:rsidRPr="00335F13">
              <w:rPr>
                <w:sz w:val="16"/>
                <w:szCs w:val="16"/>
              </w:rPr>
              <w:t>, потрошенная.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10.20.13.122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3615" w:type="dxa"/>
          </w:tcPr>
          <w:p w:rsidR="00184E05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рыба мороженая, без головы, потрошеная.</w:t>
            </w:r>
          </w:p>
          <w:p w:rsidR="00184E05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(после размораживания) – повер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пло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1D7995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</w:t>
            </w:r>
            <w:r>
              <w:rPr>
                <w:sz w:val="20"/>
                <w:szCs w:val="20"/>
              </w:rPr>
              <w:t>2</w:t>
            </w:r>
            <w:r w:rsidRPr="001D7995">
              <w:rPr>
                <w:sz w:val="20"/>
                <w:szCs w:val="20"/>
              </w:rPr>
              <w:t>3.122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</w:t>
            </w:r>
          </w:p>
        </w:tc>
        <w:tc>
          <w:tcPr>
            <w:tcW w:w="3615" w:type="dxa"/>
          </w:tcPr>
          <w:p w:rsidR="00184E05" w:rsidRDefault="00184E05" w:rsidP="00C84B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сельдь тихоокеанская, слабос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леная, без пряностей, неразделанная.</w:t>
            </w:r>
          </w:p>
          <w:p w:rsidR="00184E05" w:rsidRDefault="00184E05" w:rsidP="00C84B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– поверхность чистая, естестве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окраски, присущей рыбе данного вида, без наружных повреждений.</w:t>
            </w:r>
          </w:p>
          <w:p w:rsidR="00184E05" w:rsidRDefault="00184E05" w:rsidP="00C84B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– нежная, сочная.</w:t>
            </w:r>
          </w:p>
          <w:p w:rsidR="00184E05" w:rsidRDefault="00184E05" w:rsidP="00C84B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Запах и вкус – свойственные слабосоленой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ди, без посторонних привкуса и запаха.</w:t>
            </w:r>
            <w:proofErr w:type="gramEnd"/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Соответствие ГОСТ 815-2004.</w:t>
            </w:r>
          </w:p>
        </w:tc>
        <w:tc>
          <w:tcPr>
            <w:tcW w:w="1134" w:type="dxa"/>
            <w:vAlign w:val="center"/>
          </w:tcPr>
          <w:p w:rsidR="00184E05" w:rsidRPr="001D7995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783B13" w:rsidRDefault="00184E05" w:rsidP="00932AAF">
            <w:pPr>
              <w:jc w:val="center"/>
              <w:rPr>
                <w:sz w:val="20"/>
                <w:szCs w:val="20"/>
                <w:highlight w:val="yellow"/>
              </w:rPr>
            </w:pPr>
            <w:r w:rsidRPr="00184E05">
              <w:rPr>
                <w:sz w:val="20"/>
                <w:szCs w:val="20"/>
              </w:rPr>
              <w:t>10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  <w:r w:rsidRPr="001D79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3615" w:type="dxa"/>
          </w:tcPr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Говядина – промышленный забой. Мясо мор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женное, Вид продукции – мясо говядина, пр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мышленный забой, задняя часть, без кости.</w:t>
            </w:r>
          </w:p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влажное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</w:t>
            </w:r>
            <w:r w:rsidRPr="00A46385">
              <w:rPr>
                <w:sz w:val="16"/>
                <w:szCs w:val="16"/>
              </w:rPr>
              <w:t>з</w:t>
            </w:r>
            <w:r w:rsidRPr="00A46385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ется.</w:t>
            </w:r>
          </w:p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Упаковка – картонная коробка.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1134" w:type="dxa"/>
            <w:vAlign w:val="center"/>
          </w:tcPr>
          <w:p w:rsidR="00184E05" w:rsidRPr="001D7995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10.11.31.110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Говядина – промышленный забой. </w:t>
            </w:r>
            <w:proofErr w:type="gramStart"/>
            <w:r w:rsidRPr="00A46385">
              <w:rPr>
                <w:sz w:val="16"/>
                <w:szCs w:val="16"/>
              </w:rPr>
              <w:t>Мясо</w:t>
            </w:r>
            <w:proofErr w:type="gramEnd"/>
            <w:r w:rsidRPr="00A46385">
              <w:rPr>
                <w:sz w:val="16"/>
                <w:szCs w:val="16"/>
              </w:rPr>
              <w:t xml:space="preserve"> мор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женное</w:t>
            </w:r>
            <w:r>
              <w:rPr>
                <w:sz w:val="16"/>
                <w:szCs w:val="16"/>
              </w:rPr>
              <w:t xml:space="preserve"> в блоках, </w:t>
            </w:r>
            <w:proofErr w:type="spellStart"/>
            <w:r>
              <w:rPr>
                <w:sz w:val="16"/>
                <w:szCs w:val="16"/>
              </w:rPr>
              <w:t>односортное</w:t>
            </w:r>
            <w:proofErr w:type="spellEnd"/>
            <w:r>
              <w:rPr>
                <w:sz w:val="16"/>
                <w:szCs w:val="16"/>
              </w:rPr>
              <w:t xml:space="preserve"> с массовой  долей  соединительной и жировой ткани менее 12%.</w:t>
            </w:r>
          </w:p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влажное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</w:t>
            </w:r>
            <w:r w:rsidRPr="00A46385">
              <w:rPr>
                <w:sz w:val="16"/>
                <w:szCs w:val="16"/>
              </w:rPr>
              <w:t>з</w:t>
            </w:r>
            <w:r w:rsidRPr="00A46385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ется.</w:t>
            </w:r>
          </w:p>
          <w:p w:rsidR="00184E05" w:rsidRPr="00A46385" w:rsidRDefault="00184E05" w:rsidP="00C84BBE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1134" w:type="dxa"/>
            <w:vAlign w:val="center"/>
          </w:tcPr>
          <w:p w:rsidR="00184E05" w:rsidRPr="001D7995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 w:rsidRPr="00184E05">
              <w:rPr>
                <w:sz w:val="20"/>
                <w:szCs w:val="20"/>
              </w:rPr>
              <w:t>80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10.11.31.110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84E05" w:rsidRPr="00335F13" w:rsidRDefault="00184E05" w:rsidP="00C84BBE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</w:p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335F13">
              <w:rPr>
                <w:sz w:val="16"/>
                <w:szCs w:val="16"/>
              </w:rPr>
              <w:t>мясо свинины</w:t>
            </w:r>
            <w:proofErr w:type="gramEnd"/>
            <w:r w:rsidRPr="00335F13">
              <w:rPr>
                <w:sz w:val="16"/>
                <w:szCs w:val="16"/>
              </w:rPr>
              <w:t>, промышленный забой, задняя часть, без кости, мороженое.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35F13">
              <w:rPr>
                <w:sz w:val="16"/>
                <w:szCs w:val="16"/>
              </w:rPr>
              <w:t>влажное</w:t>
            </w:r>
            <w:proofErr w:type="gramEnd"/>
            <w:r w:rsidRPr="00335F13">
              <w:rPr>
                <w:sz w:val="16"/>
                <w:szCs w:val="16"/>
              </w:rPr>
              <w:t>; цвет от светло-красного до красного.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на ра</w:t>
            </w:r>
            <w:r w:rsidRPr="00335F13">
              <w:rPr>
                <w:sz w:val="16"/>
                <w:szCs w:val="16"/>
              </w:rPr>
              <w:t>з</w:t>
            </w:r>
            <w:r w:rsidRPr="00335F13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335F13">
              <w:rPr>
                <w:sz w:val="16"/>
                <w:szCs w:val="16"/>
              </w:rPr>
              <w:t>а</w:t>
            </w:r>
            <w:r w:rsidRPr="00335F13">
              <w:rPr>
                <w:sz w:val="16"/>
                <w:szCs w:val="16"/>
              </w:rPr>
              <w:t>ется.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Упаковка – картонная коробка.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1134" w:type="dxa"/>
            <w:vAlign w:val="center"/>
          </w:tcPr>
          <w:p w:rsidR="00184E05" w:rsidRPr="001D7995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10.11.31.140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3615" w:type="dxa"/>
          </w:tcPr>
          <w:p w:rsidR="00184E05" w:rsidRDefault="00184E05" w:rsidP="00C84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субпродукт первой категории – печень говяжья замороженная, крупный кусок.</w:t>
            </w:r>
          </w:p>
          <w:p w:rsidR="00184E05" w:rsidRDefault="00184E05" w:rsidP="00C84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влажное</w:t>
            </w:r>
            <w:proofErr w:type="gramEnd"/>
            <w:r>
              <w:rPr>
                <w:sz w:val="16"/>
                <w:szCs w:val="16"/>
              </w:rPr>
              <w:t>; цвет темно-красный.</w:t>
            </w:r>
          </w:p>
          <w:p w:rsidR="00184E05" w:rsidRDefault="00184E05" w:rsidP="00C84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на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lastRenderedPageBreak/>
              <w:t xml:space="preserve">резе печени </w:t>
            </w:r>
            <w:proofErr w:type="gramStart"/>
            <w:r>
              <w:rPr>
                <w:sz w:val="16"/>
                <w:szCs w:val="16"/>
              </w:rPr>
              <w:t>плотное</w:t>
            </w:r>
            <w:proofErr w:type="gramEnd"/>
            <w:r>
              <w:rPr>
                <w:sz w:val="16"/>
                <w:szCs w:val="16"/>
              </w:rPr>
              <w:t>, упругое, образующаяся при надавливании пальцем ямка быстро выравнив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ется.</w:t>
            </w:r>
          </w:p>
          <w:p w:rsidR="00184E05" w:rsidRDefault="00184E05" w:rsidP="00C84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свойственный свежей печени.</w:t>
            </w:r>
          </w:p>
          <w:p w:rsidR="00184E05" w:rsidRDefault="00184E05" w:rsidP="00C84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вакуумная.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51074-2003.</w:t>
            </w:r>
          </w:p>
        </w:tc>
        <w:tc>
          <w:tcPr>
            <w:tcW w:w="1134" w:type="dxa"/>
            <w:vAlign w:val="center"/>
          </w:tcPr>
          <w:p w:rsidR="00184E05" w:rsidRPr="001D7995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4E05" w:rsidP="0093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184E05">
        <w:rPr>
          <w:b/>
          <w:color w:val="FF0000"/>
          <w:sz w:val="20"/>
          <w:szCs w:val="20"/>
        </w:rPr>
        <w:t>103 112,00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6834C7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184E05">
        <w:rPr>
          <w:i/>
          <w:sz w:val="20"/>
          <w:szCs w:val="20"/>
        </w:rPr>
        <w:t xml:space="preserve">сто три </w:t>
      </w:r>
      <w:r w:rsidRPr="00AC62C7">
        <w:rPr>
          <w:i/>
          <w:sz w:val="20"/>
          <w:szCs w:val="20"/>
        </w:rPr>
        <w:t>тысяч</w:t>
      </w:r>
      <w:r w:rsidR="0050352F">
        <w:rPr>
          <w:i/>
          <w:sz w:val="20"/>
          <w:szCs w:val="20"/>
        </w:rPr>
        <w:t>и сто двенадцать</w:t>
      </w:r>
      <w:r w:rsidR="003F2D81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6834C7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коп</w:t>
      </w:r>
      <w:r w:rsidRPr="00AC62C7">
        <w:rPr>
          <w:i/>
          <w:sz w:val="20"/>
          <w:szCs w:val="20"/>
        </w:rPr>
        <w:t>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713F78" w:rsidRDefault="00C71E3A" w:rsidP="00C71E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</w:t>
            </w:r>
          </w:p>
        </w:tc>
        <w:tc>
          <w:tcPr>
            <w:tcW w:w="1350" w:type="dxa"/>
          </w:tcPr>
          <w:p w:rsidR="00C71E3A" w:rsidRPr="0051561C" w:rsidRDefault="00C71E3A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783B13" w:rsidRDefault="00783B13" w:rsidP="00C71E3A">
            <w:pPr>
              <w:jc w:val="center"/>
              <w:rPr>
                <w:sz w:val="20"/>
                <w:szCs w:val="20"/>
                <w:highlight w:val="yellow"/>
              </w:rPr>
            </w:pPr>
            <w:r w:rsidRPr="00184E05">
              <w:rPr>
                <w:sz w:val="20"/>
                <w:szCs w:val="20"/>
              </w:rPr>
              <w:t>22</w:t>
            </w:r>
          </w:p>
        </w:tc>
        <w:tc>
          <w:tcPr>
            <w:tcW w:w="2066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188,50</w:t>
            </w:r>
          </w:p>
        </w:tc>
        <w:tc>
          <w:tcPr>
            <w:tcW w:w="2607" w:type="dxa"/>
          </w:tcPr>
          <w:p w:rsidR="00C71E3A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4 147,00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Форель</w:t>
            </w:r>
          </w:p>
        </w:tc>
        <w:tc>
          <w:tcPr>
            <w:tcW w:w="1350" w:type="dxa"/>
          </w:tcPr>
          <w:p w:rsidR="00C71E3A" w:rsidRPr="0051561C" w:rsidRDefault="00C71E3A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6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714,00</w:t>
            </w:r>
          </w:p>
        </w:tc>
        <w:tc>
          <w:tcPr>
            <w:tcW w:w="2607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7 140,00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Кальмар</w:t>
            </w:r>
          </w:p>
        </w:tc>
        <w:tc>
          <w:tcPr>
            <w:tcW w:w="1350" w:type="dxa"/>
          </w:tcPr>
          <w:p w:rsidR="00C71E3A" w:rsidRPr="0051561C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158,50</w:t>
            </w:r>
          </w:p>
        </w:tc>
        <w:tc>
          <w:tcPr>
            <w:tcW w:w="2607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1 902,00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Камбала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146,00</w:t>
            </w:r>
          </w:p>
        </w:tc>
        <w:tc>
          <w:tcPr>
            <w:tcW w:w="2607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3 212,00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Кета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327,00</w:t>
            </w:r>
          </w:p>
        </w:tc>
        <w:tc>
          <w:tcPr>
            <w:tcW w:w="2607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14 388,00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2607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3 388,00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783B13" w:rsidRDefault="00783B13" w:rsidP="00C71E3A">
            <w:pPr>
              <w:jc w:val="center"/>
              <w:rPr>
                <w:sz w:val="20"/>
                <w:szCs w:val="20"/>
                <w:highlight w:val="yellow"/>
              </w:rPr>
            </w:pPr>
            <w:r w:rsidRPr="00184E05">
              <w:rPr>
                <w:sz w:val="20"/>
                <w:szCs w:val="20"/>
              </w:rPr>
              <w:t>1</w:t>
            </w:r>
            <w:r w:rsidR="00C71E3A" w:rsidRPr="00184E05">
              <w:rPr>
                <w:sz w:val="20"/>
                <w:szCs w:val="20"/>
              </w:rPr>
              <w:t>0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150,50</w:t>
            </w:r>
          </w:p>
        </w:tc>
        <w:tc>
          <w:tcPr>
            <w:tcW w:w="2607" w:type="dxa"/>
          </w:tcPr>
          <w:p w:rsidR="00C71E3A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1 505,00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420,50</w:t>
            </w:r>
          </w:p>
        </w:tc>
        <w:tc>
          <w:tcPr>
            <w:tcW w:w="2607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25 230,00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783B13" w:rsidP="00C71E3A">
            <w:pPr>
              <w:jc w:val="center"/>
              <w:rPr>
                <w:sz w:val="20"/>
                <w:szCs w:val="20"/>
              </w:rPr>
            </w:pPr>
            <w:r w:rsidRPr="00184E05">
              <w:rPr>
                <w:sz w:val="20"/>
                <w:szCs w:val="20"/>
              </w:rPr>
              <w:t>80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329,50</w:t>
            </w:r>
          </w:p>
        </w:tc>
        <w:tc>
          <w:tcPr>
            <w:tcW w:w="2607" w:type="dxa"/>
          </w:tcPr>
          <w:p w:rsidR="00C71E3A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26 360,00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  <w:r>
              <w:rPr>
                <w:sz w:val="20"/>
                <w:szCs w:val="20"/>
              </w:rPr>
              <w:t xml:space="preserve"> </w:t>
            </w: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286,50</w:t>
            </w:r>
          </w:p>
        </w:tc>
        <w:tc>
          <w:tcPr>
            <w:tcW w:w="2607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11 460,00</w:t>
            </w:r>
          </w:p>
        </w:tc>
      </w:tr>
      <w:tr w:rsidR="00C71E3A" w:rsidRPr="008A4E15" w:rsidTr="00C71E3A">
        <w:trPr>
          <w:trHeight w:val="257"/>
        </w:trPr>
        <w:tc>
          <w:tcPr>
            <w:tcW w:w="2802" w:type="dxa"/>
            <w:vAlign w:val="center"/>
          </w:tcPr>
          <w:p w:rsidR="00C71E3A" w:rsidRPr="0030404F" w:rsidRDefault="00C71E3A" w:rsidP="00C7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1350" w:type="dxa"/>
          </w:tcPr>
          <w:p w:rsidR="00C71E3A" w:rsidRDefault="00C71E3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C71E3A" w:rsidRPr="0051561C" w:rsidRDefault="00C71E3A" w:rsidP="00C7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219,00</w:t>
            </w:r>
          </w:p>
        </w:tc>
        <w:tc>
          <w:tcPr>
            <w:tcW w:w="2607" w:type="dxa"/>
          </w:tcPr>
          <w:p w:rsidR="00C71E3A" w:rsidRDefault="00783B13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4 380,00</w:t>
            </w:r>
          </w:p>
        </w:tc>
      </w:tr>
      <w:tr w:rsidR="00C71E3A" w:rsidRPr="008A4E15" w:rsidTr="00A45C0D">
        <w:trPr>
          <w:trHeight w:val="257"/>
        </w:trPr>
        <w:tc>
          <w:tcPr>
            <w:tcW w:w="7817" w:type="dxa"/>
            <w:gridSpan w:val="4"/>
          </w:tcPr>
          <w:p w:rsidR="00C71E3A" w:rsidRDefault="00C71E3A" w:rsidP="00C71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</w:tcPr>
          <w:p w:rsidR="00C71E3A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103 112,00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lastRenderedPageBreak/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lastRenderedPageBreak/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27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0E7FEE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Главный-врач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F2D81">
        <w:rPr>
          <w:sz w:val="20"/>
          <w:szCs w:val="20"/>
        </w:rPr>
        <w:t>06</w:t>
      </w:r>
      <w:r w:rsidRPr="006A14D6">
        <w:rPr>
          <w:sz w:val="20"/>
          <w:szCs w:val="20"/>
        </w:rPr>
        <w:t>-ЗК от «</w:t>
      </w:r>
      <w:r w:rsidR="007B4C21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3F2D81">
        <w:rPr>
          <w:b/>
          <w:color w:val="FF0000"/>
          <w:sz w:val="20"/>
          <w:szCs w:val="20"/>
        </w:rPr>
        <w:t>06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7B4C21">
        <w:rPr>
          <w:b/>
          <w:color w:val="FF0000"/>
          <w:sz w:val="20"/>
          <w:szCs w:val="20"/>
        </w:rPr>
        <w:t>16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F2D81">
        <w:rPr>
          <w:sz w:val="20"/>
          <w:szCs w:val="20"/>
        </w:rPr>
        <w:t>06</w:t>
      </w:r>
      <w:r w:rsidRPr="006A14D6">
        <w:rPr>
          <w:sz w:val="20"/>
          <w:szCs w:val="20"/>
        </w:rPr>
        <w:t>-ЗК от 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28" w:rsidRDefault="00262D28">
      <w:r>
        <w:separator/>
      </w:r>
    </w:p>
  </w:endnote>
  <w:endnote w:type="continuationSeparator" w:id="0">
    <w:p w:rsidR="00262D28" w:rsidRDefault="0026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BE" w:rsidRDefault="00C84BBE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D81">
      <w:rPr>
        <w:rStyle w:val="a9"/>
        <w:noProof/>
      </w:rPr>
      <w:t>11</w:t>
    </w:r>
    <w:r>
      <w:rPr>
        <w:rStyle w:val="a9"/>
      </w:rPr>
      <w:fldChar w:fldCharType="end"/>
    </w:r>
  </w:p>
  <w:p w:rsidR="00C84BBE" w:rsidRDefault="00C84BBE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28" w:rsidRDefault="00262D28">
      <w:r>
        <w:separator/>
      </w:r>
    </w:p>
  </w:footnote>
  <w:footnote w:type="continuationSeparator" w:id="0">
    <w:p w:rsidR="00262D28" w:rsidRDefault="0026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E3C7-036A-4DB3-8303-9CCCDDAE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11</Pages>
  <Words>6617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44246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250</cp:revision>
  <cp:lastPrinted>2011-12-07T05:49:00Z</cp:lastPrinted>
  <dcterms:created xsi:type="dcterms:W3CDTF">2014-05-27T01:29:00Z</dcterms:created>
  <dcterms:modified xsi:type="dcterms:W3CDTF">2020-01-16T05:02:00Z</dcterms:modified>
</cp:coreProperties>
</file>