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75397C">
        <w:rPr>
          <w:b w:val="0"/>
          <w:bCs w:val="0"/>
          <w:sz w:val="20"/>
          <w:szCs w:val="20"/>
        </w:rPr>
        <w:t>22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7B4C21">
        <w:rPr>
          <w:sz w:val="20"/>
          <w:szCs w:val="20"/>
        </w:rPr>
        <w:t>05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6834C7">
        <w:rPr>
          <w:sz w:val="20"/>
          <w:szCs w:val="20"/>
        </w:rPr>
        <w:t>1</w:t>
      </w:r>
      <w:r w:rsidR="007B4C21">
        <w:rPr>
          <w:sz w:val="20"/>
          <w:szCs w:val="20"/>
        </w:rPr>
        <w:t>6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75397C" w:rsidRPr="006A14D6" w:rsidRDefault="0075397C" w:rsidP="001E47E4">
      <w:pPr>
        <w:pStyle w:val="a4"/>
        <w:rPr>
          <w:sz w:val="20"/>
          <w:szCs w:val="20"/>
        </w:rPr>
      </w:pPr>
      <w:r>
        <w:rPr>
          <w:sz w:val="20"/>
          <w:szCs w:val="20"/>
        </w:rPr>
        <w:t>Редакция 2 (дата утверждение вносимых изменений 22.01.2020 г.)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Каткова Ирина Михайловна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</w:t>
      </w:r>
      <w:r w:rsidR="001D1414">
        <w:rPr>
          <w:bCs/>
          <w:sz w:val="20"/>
          <w:szCs w:val="20"/>
        </w:rPr>
        <w:t>о</w:t>
      </w:r>
      <w:r w:rsidR="001D1414">
        <w:rPr>
          <w:bCs/>
          <w:sz w:val="20"/>
          <w:szCs w:val="20"/>
        </w:rPr>
        <w:t>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42DBC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EA7B54">
        <w:rPr>
          <w:b/>
          <w:bCs/>
          <w:sz w:val="20"/>
          <w:szCs w:val="20"/>
        </w:rPr>
        <w:t>марта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EA7B54" w:rsidRPr="00D3770C" w:rsidTr="00EA7B54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1561C">
              <w:rPr>
                <w:sz w:val="20"/>
                <w:szCs w:val="20"/>
              </w:rPr>
              <w:t>/</w:t>
            </w:r>
            <w:proofErr w:type="spellStart"/>
            <w:r w:rsidRPr="0051561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 xml:space="preserve">Ед. </w:t>
            </w:r>
            <w:proofErr w:type="spellStart"/>
            <w:r w:rsidRPr="0051561C">
              <w:rPr>
                <w:sz w:val="20"/>
                <w:szCs w:val="20"/>
              </w:rPr>
              <w:t>изм</w:t>
            </w:r>
            <w:proofErr w:type="spellEnd"/>
            <w:r w:rsidRPr="0051561C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A7B54" w:rsidRPr="0051561C" w:rsidRDefault="00EA7B54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7B4C21" w:rsidRPr="00D3770C" w:rsidTr="00EA7B54">
        <w:trPr>
          <w:trHeight w:val="923"/>
          <w:jc w:val="center"/>
        </w:trPr>
        <w:tc>
          <w:tcPr>
            <w:tcW w:w="560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7B4C21" w:rsidRPr="004003B6" w:rsidRDefault="007B4C21" w:rsidP="007B4C21">
            <w:pPr>
              <w:jc w:val="center"/>
              <w:rPr>
                <w:sz w:val="20"/>
                <w:szCs w:val="20"/>
              </w:rPr>
            </w:pPr>
            <w:r w:rsidRPr="004003B6">
              <w:rPr>
                <w:sz w:val="20"/>
                <w:szCs w:val="20"/>
              </w:rPr>
              <w:t>10.51.</w:t>
            </w:r>
            <w:r>
              <w:rPr>
                <w:sz w:val="20"/>
                <w:szCs w:val="20"/>
              </w:rPr>
              <w:t>30.111</w:t>
            </w:r>
          </w:p>
        </w:tc>
        <w:tc>
          <w:tcPr>
            <w:tcW w:w="1134" w:type="dxa"/>
            <w:vAlign w:val="center"/>
          </w:tcPr>
          <w:p w:rsidR="007B4C21" w:rsidRPr="00713F78" w:rsidRDefault="007B4C21" w:rsidP="00B377C5">
            <w:pPr>
              <w:jc w:val="center"/>
              <w:rPr>
                <w:sz w:val="20"/>
                <w:szCs w:val="20"/>
              </w:rPr>
            </w:pPr>
            <w:r w:rsidRPr="00713F78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51</w:t>
            </w:r>
            <w:r w:rsidRPr="00713F78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7B4C21" w:rsidRPr="00713F78" w:rsidRDefault="007B4C21" w:rsidP="00B37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3615" w:type="dxa"/>
          </w:tcPr>
          <w:p w:rsidR="007B4C21" w:rsidRPr="007B4C21" w:rsidRDefault="007B4C21" w:rsidP="00B377C5">
            <w:pPr>
              <w:jc w:val="both"/>
              <w:rPr>
                <w:color w:val="000000"/>
                <w:sz w:val="18"/>
                <w:szCs w:val="18"/>
              </w:rPr>
            </w:pPr>
            <w:r w:rsidRPr="007B4C21">
              <w:rPr>
                <w:color w:val="000000"/>
                <w:sz w:val="18"/>
                <w:szCs w:val="18"/>
              </w:rPr>
              <w:t>Масло  сладко-сливочное несоленое – кр</w:t>
            </w:r>
            <w:r w:rsidRPr="007B4C21">
              <w:rPr>
                <w:color w:val="000000"/>
                <w:sz w:val="18"/>
                <w:szCs w:val="18"/>
              </w:rPr>
              <w:t>е</w:t>
            </w:r>
            <w:r w:rsidRPr="007B4C21">
              <w:rPr>
                <w:color w:val="000000"/>
                <w:sz w:val="18"/>
                <w:szCs w:val="18"/>
              </w:rPr>
              <w:t>стьянское высшего сорта должно выраб</w:t>
            </w:r>
            <w:r w:rsidRPr="007B4C21">
              <w:rPr>
                <w:color w:val="000000"/>
                <w:sz w:val="18"/>
                <w:szCs w:val="18"/>
              </w:rPr>
              <w:t>а</w:t>
            </w:r>
            <w:r w:rsidRPr="007B4C21">
              <w:rPr>
                <w:color w:val="000000"/>
                <w:sz w:val="18"/>
                <w:szCs w:val="18"/>
              </w:rPr>
              <w:t>тываться</w:t>
            </w:r>
            <w:r w:rsidRPr="007B4C21">
              <w:rPr>
                <w:sz w:val="18"/>
                <w:szCs w:val="18"/>
              </w:rPr>
              <w:t xml:space="preserve"> из молока натурального коровьего  с</w:t>
            </w:r>
            <w:r w:rsidRPr="007B4C21">
              <w:rPr>
                <w:color w:val="000000"/>
                <w:sz w:val="18"/>
                <w:szCs w:val="18"/>
              </w:rPr>
              <w:t xml:space="preserve"> соблюдением санитарных правил, реце</w:t>
            </w:r>
            <w:r w:rsidRPr="007B4C21">
              <w:rPr>
                <w:color w:val="000000"/>
                <w:sz w:val="18"/>
                <w:szCs w:val="18"/>
              </w:rPr>
              <w:t>п</w:t>
            </w:r>
            <w:r w:rsidRPr="007B4C21">
              <w:rPr>
                <w:color w:val="000000"/>
                <w:sz w:val="18"/>
                <w:szCs w:val="18"/>
              </w:rPr>
              <w:t>тур и технологических инструкций, утве</w:t>
            </w:r>
            <w:r w:rsidRPr="007B4C21">
              <w:rPr>
                <w:color w:val="000000"/>
                <w:sz w:val="18"/>
                <w:szCs w:val="18"/>
              </w:rPr>
              <w:t>р</w:t>
            </w:r>
            <w:r w:rsidRPr="007B4C21">
              <w:rPr>
                <w:color w:val="000000"/>
                <w:sz w:val="18"/>
                <w:szCs w:val="18"/>
              </w:rPr>
              <w:t xml:space="preserve">жденных в установленном порядке. </w:t>
            </w:r>
          </w:p>
          <w:p w:rsidR="007B4C21" w:rsidRPr="007B4C21" w:rsidRDefault="007B4C21" w:rsidP="00B377C5">
            <w:pPr>
              <w:jc w:val="both"/>
              <w:rPr>
                <w:color w:val="000000"/>
                <w:sz w:val="18"/>
                <w:szCs w:val="18"/>
              </w:rPr>
            </w:pPr>
            <w:r w:rsidRPr="007B4C21">
              <w:rPr>
                <w:color w:val="000000"/>
                <w:sz w:val="18"/>
                <w:szCs w:val="18"/>
              </w:rPr>
              <w:t>Массовая доля жира должна быть не менее 72,5%.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Вкус и запах чистый сладко-сливочный, без посторонних запахов и привкусов.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Цвет  светло-желтый, однородный по всей массе.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Консистенция плотная, пластичная, одн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родная, не крошащаяся,  поверхность на срезе блестящая.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Без консервантов и растительных жиров.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Упаковка – </w:t>
            </w:r>
            <w:proofErr w:type="spellStart"/>
            <w:r w:rsidRPr="007B4C21">
              <w:rPr>
                <w:sz w:val="18"/>
                <w:szCs w:val="18"/>
              </w:rPr>
              <w:t>кашированная</w:t>
            </w:r>
            <w:proofErr w:type="spellEnd"/>
            <w:r w:rsidRPr="007B4C21">
              <w:rPr>
                <w:sz w:val="18"/>
                <w:szCs w:val="18"/>
              </w:rPr>
              <w:t xml:space="preserve"> упаковочная фольга, фасовка – брикет не менее 0,</w:t>
            </w:r>
            <w:r w:rsidR="0075397C">
              <w:rPr>
                <w:sz w:val="18"/>
                <w:szCs w:val="18"/>
              </w:rPr>
              <w:t>18</w:t>
            </w:r>
            <w:r w:rsidRPr="007B4C21">
              <w:rPr>
                <w:sz w:val="18"/>
                <w:szCs w:val="18"/>
              </w:rPr>
              <w:t xml:space="preserve"> кг и не более 0,5 кг. На упаковке должна быть указана дата изготовления.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Соответствие </w:t>
            </w:r>
            <w:proofErr w:type="gramStart"/>
            <w:r w:rsidRPr="007B4C21">
              <w:rPr>
                <w:sz w:val="18"/>
                <w:szCs w:val="18"/>
              </w:rPr>
              <w:t>ТР</w:t>
            </w:r>
            <w:proofErr w:type="gramEnd"/>
            <w:r w:rsidRPr="007B4C21">
              <w:rPr>
                <w:sz w:val="18"/>
                <w:szCs w:val="18"/>
              </w:rPr>
              <w:t xml:space="preserve"> ТС 021/2011 г. «О без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пасности пищевой продукции» от 09.12.2011 г. № 880, 033/2013 «О безопа</w:t>
            </w:r>
            <w:r w:rsidRPr="007B4C21">
              <w:rPr>
                <w:sz w:val="18"/>
                <w:szCs w:val="18"/>
              </w:rPr>
              <w:t>с</w:t>
            </w:r>
            <w:r w:rsidRPr="007B4C21">
              <w:rPr>
                <w:sz w:val="18"/>
                <w:szCs w:val="18"/>
              </w:rPr>
              <w:t>ности молока и молочной продукции», ГОСТ 32261-2013.</w:t>
            </w:r>
          </w:p>
        </w:tc>
        <w:tc>
          <w:tcPr>
            <w:tcW w:w="1134" w:type="dxa"/>
            <w:vAlign w:val="center"/>
          </w:tcPr>
          <w:p w:rsidR="007B4C21" w:rsidRPr="00713F78" w:rsidRDefault="0075397C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7B4C21" w:rsidRPr="0051561C" w:rsidRDefault="0075397C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B4C21" w:rsidRPr="00D3770C" w:rsidTr="00EA7B54">
        <w:trPr>
          <w:trHeight w:val="132"/>
          <w:jc w:val="center"/>
        </w:trPr>
        <w:tc>
          <w:tcPr>
            <w:tcW w:w="560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7B4C21" w:rsidRPr="004003B6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10.13.14.441</w:t>
            </w:r>
          </w:p>
        </w:tc>
        <w:tc>
          <w:tcPr>
            <w:tcW w:w="1134" w:type="dxa"/>
            <w:vAlign w:val="center"/>
          </w:tcPr>
          <w:p w:rsidR="007B4C21" w:rsidRPr="00AE5945" w:rsidRDefault="007B4C21" w:rsidP="00B377C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13.1</w:t>
            </w:r>
          </w:p>
        </w:tc>
        <w:tc>
          <w:tcPr>
            <w:tcW w:w="1772" w:type="dxa"/>
            <w:vAlign w:val="center"/>
          </w:tcPr>
          <w:p w:rsidR="007B4C21" w:rsidRDefault="007B4C21" w:rsidP="00B377C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proofErr w:type="spellStart"/>
            <w:r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копченая</w:t>
            </w:r>
            <w:proofErr w:type="spellEnd"/>
          </w:p>
          <w:p w:rsidR="007B4C21" w:rsidRPr="0030404F" w:rsidRDefault="007B4C21" w:rsidP="00B3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«Говяжья»</w:t>
            </w:r>
            <w:r>
              <w:rPr>
                <w:sz w:val="20"/>
                <w:szCs w:val="20"/>
              </w:rPr>
              <w:br/>
            </w:r>
            <w:r w:rsidRPr="007B4C21">
              <w:rPr>
                <w:i/>
                <w:sz w:val="20"/>
                <w:szCs w:val="20"/>
              </w:rPr>
              <w:lastRenderedPageBreak/>
              <w:t>или эквивалент</w:t>
            </w:r>
          </w:p>
        </w:tc>
        <w:tc>
          <w:tcPr>
            <w:tcW w:w="3615" w:type="dxa"/>
          </w:tcPr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lastRenderedPageBreak/>
              <w:t xml:space="preserve">Мясной продукт – колбаса </w:t>
            </w:r>
            <w:proofErr w:type="spellStart"/>
            <w:r w:rsidRPr="007B4C21">
              <w:rPr>
                <w:sz w:val="18"/>
                <w:szCs w:val="18"/>
              </w:rPr>
              <w:t>полукопче</w:t>
            </w:r>
            <w:r w:rsidR="00BA446B">
              <w:rPr>
                <w:sz w:val="18"/>
                <w:szCs w:val="18"/>
              </w:rPr>
              <w:t>н</w:t>
            </w:r>
            <w:r w:rsidRPr="007B4C21">
              <w:rPr>
                <w:sz w:val="18"/>
                <w:szCs w:val="18"/>
              </w:rPr>
              <w:t>ая</w:t>
            </w:r>
            <w:proofErr w:type="spellEnd"/>
            <w:r w:rsidRPr="007B4C21">
              <w:rPr>
                <w:sz w:val="18"/>
                <w:szCs w:val="18"/>
              </w:rPr>
              <w:t>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Состав: говядина</w:t>
            </w:r>
            <w:r>
              <w:rPr>
                <w:sz w:val="18"/>
                <w:szCs w:val="18"/>
              </w:rPr>
              <w:t xml:space="preserve"> и</w:t>
            </w:r>
            <w:r w:rsidRPr="007B4C21">
              <w:rPr>
                <w:sz w:val="18"/>
                <w:szCs w:val="18"/>
              </w:rPr>
              <w:t xml:space="preserve"> свинина, соль и специи.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Внешний вид: батон с чистой сухой п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верхностью, без пятен, слипов, поврежд</w:t>
            </w:r>
            <w:r w:rsidRPr="007B4C21">
              <w:rPr>
                <w:sz w:val="18"/>
                <w:szCs w:val="18"/>
              </w:rPr>
              <w:t>е</w:t>
            </w:r>
            <w:r w:rsidRPr="007B4C21">
              <w:rPr>
                <w:sz w:val="18"/>
                <w:szCs w:val="18"/>
              </w:rPr>
              <w:lastRenderedPageBreak/>
              <w:t>ний оболочки, наплывов фарша.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Консистенция: плотная.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Цвет от </w:t>
            </w:r>
            <w:proofErr w:type="gramStart"/>
            <w:r w:rsidRPr="007B4C21">
              <w:rPr>
                <w:sz w:val="18"/>
                <w:szCs w:val="18"/>
              </w:rPr>
              <w:t>розового</w:t>
            </w:r>
            <w:proofErr w:type="gramEnd"/>
            <w:r w:rsidRPr="007B4C21">
              <w:rPr>
                <w:sz w:val="18"/>
                <w:szCs w:val="18"/>
              </w:rPr>
              <w:t xml:space="preserve"> до темно-красного, без пустот и пятен, содержит кусочки груди</w:t>
            </w:r>
            <w:r w:rsidRPr="007B4C21">
              <w:rPr>
                <w:sz w:val="18"/>
                <w:szCs w:val="18"/>
              </w:rPr>
              <w:t>н</w:t>
            </w:r>
            <w:r w:rsidRPr="007B4C21">
              <w:rPr>
                <w:sz w:val="18"/>
                <w:szCs w:val="18"/>
              </w:rPr>
              <w:t>ки.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Вкус и запах свойственный данному виду продукта, без посторонних запахов и при</w:t>
            </w:r>
            <w:r w:rsidRPr="007B4C21">
              <w:rPr>
                <w:sz w:val="18"/>
                <w:szCs w:val="18"/>
              </w:rPr>
              <w:t>в</w:t>
            </w:r>
            <w:r w:rsidRPr="007B4C21">
              <w:rPr>
                <w:sz w:val="18"/>
                <w:szCs w:val="18"/>
              </w:rPr>
              <w:t>кусов. Вкус в меру соленый, с выраженным ароматом копчения и пряностей.</w:t>
            </w:r>
          </w:p>
          <w:p w:rsidR="007B4C21" w:rsidRPr="007B4C21" w:rsidRDefault="007B4C21" w:rsidP="00B377C5">
            <w:pPr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Соответствие ГОСТ 31785-2012 или ТУ производителя.</w:t>
            </w:r>
          </w:p>
        </w:tc>
        <w:tc>
          <w:tcPr>
            <w:tcW w:w="1134" w:type="dxa"/>
            <w:vAlign w:val="center"/>
          </w:tcPr>
          <w:p w:rsidR="007B4C21" w:rsidRPr="00713F78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841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4C21" w:rsidRPr="00D3770C" w:rsidTr="00EA7B54">
        <w:trPr>
          <w:trHeight w:val="923"/>
          <w:jc w:val="center"/>
        </w:trPr>
        <w:tc>
          <w:tcPr>
            <w:tcW w:w="560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7B4C21" w:rsidRPr="00713F78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10.13.14.112</w:t>
            </w:r>
          </w:p>
        </w:tc>
        <w:tc>
          <w:tcPr>
            <w:tcW w:w="1134" w:type="dxa"/>
            <w:vAlign w:val="center"/>
          </w:tcPr>
          <w:p w:rsidR="007B4C21" w:rsidRPr="0030404F" w:rsidRDefault="007B4C21" w:rsidP="00B377C5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10.13.1</w:t>
            </w:r>
          </w:p>
        </w:tc>
        <w:tc>
          <w:tcPr>
            <w:tcW w:w="1772" w:type="dxa"/>
            <w:vAlign w:val="center"/>
          </w:tcPr>
          <w:p w:rsidR="007B4C21" w:rsidRPr="0030404F" w:rsidRDefault="007B4C21" w:rsidP="007B4C21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Сосиски</w:t>
            </w:r>
            <w:r>
              <w:rPr>
                <w:sz w:val="20"/>
                <w:szCs w:val="20"/>
              </w:rPr>
              <w:br/>
              <w:t>«Говяжьи»</w:t>
            </w:r>
            <w:r>
              <w:rPr>
                <w:sz w:val="20"/>
                <w:szCs w:val="20"/>
              </w:rPr>
              <w:br/>
            </w:r>
            <w:r w:rsidRPr="007B4C21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15" w:type="dxa"/>
          </w:tcPr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Мясной продукт – сосиски. 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Состав: мясо говядины, свинины, вода питьевая, соль и специи.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Внешний вид: батон с чистой сухой п</w:t>
            </w:r>
            <w:r w:rsidRPr="007B4C21">
              <w:rPr>
                <w:sz w:val="18"/>
                <w:szCs w:val="18"/>
              </w:rPr>
              <w:t>о</w:t>
            </w:r>
            <w:r w:rsidRPr="007B4C21">
              <w:rPr>
                <w:sz w:val="18"/>
                <w:szCs w:val="18"/>
              </w:rPr>
              <w:t>верхностью.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Консистенция: нежная, сочная.</w:t>
            </w:r>
          </w:p>
          <w:p w:rsidR="007B4C21" w:rsidRPr="007B4C21" w:rsidRDefault="007B4C21" w:rsidP="00B377C5">
            <w:pPr>
              <w:jc w:val="both"/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>Цвет и вкус свойственный данному виду продукта.</w:t>
            </w:r>
          </w:p>
          <w:p w:rsidR="007B4C21" w:rsidRPr="007B4C21" w:rsidRDefault="007B4C21" w:rsidP="00B377C5">
            <w:pPr>
              <w:rPr>
                <w:sz w:val="18"/>
                <w:szCs w:val="18"/>
              </w:rPr>
            </w:pPr>
            <w:r w:rsidRPr="007B4C21">
              <w:rPr>
                <w:sz w:val="18"/>
                <w:szCs w:val="18"/>
              </w:rPr>
              <w:t xml:space="preserve">Соответствие ГОСТ </w:t>
            </w:r>
            <w:proofErr w:type="gramStart"/>
            <w:r w:rsidRPr="007B4C21">
              <w:rPr>
                <w:sz w:val="18"/>
                <w:szCs w:val="18"/>
              </w:rPr>
              <w:t>Р</w:t>
            </w:r>
            <w:proofErr w:type="gramEnd"/>
            <w:r w:rsidRPr="007B4C21">
              <w:rPr>
                <w:sz w:val="18"/>
                <w:szCs w:val="18"/>
              </w:rPr>
              <w:t xml:space="preserve"> 52196-2011 или ТУ производителя.</w:t>
            </w:r>
          </w:p>
        </w:tc>
        <w:tc>
          <w:tcPr>
            <w:tcW w:w="1134" w:type="dxa"/>
            <w:vAlign w:val="center"/>
          </w:tcPr>
          <w:p w:rsidR="007B4C21" w:rsidRPr="00AE5945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7B4C21" w:rsidRPr="0051561C" w:rsidRDefault="007B4C21" w:rsidP="00EA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7B4C21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требованиям </w:t>
      </w:r>
      <w:r>
        <w:rPr>
          <w:sz w:val="20"/>
          <w:szCs w:val="20"/>
        </w:rPr>
        <w:t>ТУ</w:t>
      </w:r>
      <w:r w:rsidRPr="008A4E15">
        <w:rPr>
          <w:sz w:val="20"/>
          <w:szCs w:val="20"/>
        </w:rPr>
        <w:t xml:space="preserve">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7B4C21">
        <w:rPr>
          <w:b/>
          <w:color w:val="FF0000"/>
          <w:sz w:val="20"/>
          <w:szCs w:val="20"/>
        </w:rPr>
        <w:t>40 325,00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6834C7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547BF0">
        <w:rPr>
          <w:i/>
          <w:sz w:val="20"/>
          <w:szCs w:val="20"/>
        </w:rPr>
        <w:t>сорок тысяч триста двадцать пять</w:t>
      </w:r>
      <w:r w:rsidRPr="00AC62C7">
        <w:rPr>
          <w:i/>
          <w:sz w:val="20"/>
          <w:szCs w:val="20"/>
        </w:rPr>
        <w:t xml:space="preserve"> рубл</w:t>
      </w:r>
      <w:r w:rsidR="006834C7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DB3DDE" w:rsidRPr="008A4E15" w:rsidTr="000E7FEE">
        <w:trPr>
          <w:trHeight w:val="257"/>
        </w:trPr>
        <w:tc>
          <w:tcPr>
            <w:tcW w:w="2802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7B4C21" w:rsidRPr="008A4E15" w:rsidTr="000E7FEE">
        <w:trPr>
          <w:trHeight w:val="257"/>
        </w:trPr>
        <w:tc>
          <w:tcPr>
            <w:tcW w:w="2802" w:type="dxa"/>
            <w:vAlign w:val="center"/>
          </w:tcPr>
          <w:p w:rsidR="007B4C21" w:rsidRPr="00713F78" w:rsidRDefault="007B4C21" w:rsidP="007B4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(0,200 кг)</w:t>
            </w:r>
          </w:p>
        </w:tc>
        <w:tc>
          <w:tcPr>
            <w:tcW w:w="1350" w:type="dxa"/>
            <w:vAlign w:val="center"/>
          </w:tcPr>
          <w:p w:rsidR="007B4C21" w:rsidRPr="00713F78" w:rsidRDefault="007B4C21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7B4C21" w:rsidRPr="0051561C" w:rsidRDefault="007B4C21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66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2607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34 500,00</w:t>
            </w:r>
          </w:p>
        </w:tc>
      </w:tr>
      <w:tr w:rsidR="007B4C21" w:rsidRPr="008A4E15" w:rsidTr="000E7FEE">
        <w:trPr>
          <w:trHeight w:val="257"/>
        </w:trPr>
        <w:tc>
          <w:tcPr>
            <w:tcW w:w="2802" w:type="dxa"/>
            <w:vAlign w:val="center"/>
          </w:tcPr>
          <w:p w:rsidR="007B4C21" w:rsidRPr="0030404F" w:rsidRDefault="007B4C21" w:rsidP="00B377C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 xml:space="preserve">Колбаса </w:t>
            </w:r>
            <w:proofErr w:type="spellStart"/>
            <w:r>
              <w:rPr>
                <w:sz w:val="20"/>
                <w:szCs w:val="20"/>
              </w:rPr>
              <w:t>полукопченная</w:t>
            </w:r>
            <w:proofErr w:type="spellEnd"/>
          </w:p>
        </w:tc>
        <w:tc>
          <w:tcPr>
            <w:tcW w:w="1350" w:type="dxa"/>
            <w:vAlign w:val="center"/>
          </w:tcPr>
          <w:p w:rsidR="007B4C21" w:rsidRPr="0051561C" w:rsidRDefault="007B4C21" w:rsidP="00B377C5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7B4C21" w:rsidRDefault="007B4C21" w:rsidP="000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362,50</w:t>
            </w:r>
          </w:p>
        </w:tc>
        <w:tc>
          <w:tcPr>
            <w:tcW w:w="2607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1 812,50</w:t>
            </w:r>
          </w:p>
        </w:tc>
      </w:tr>
      <w:tr w:rsidR="007B4C21" w:rsidRPr="008A4E15" w:rsidTr="000E7FEE">
        <w:trPr>
          <w:trHeight w:val="257"/>
        </w:trPr>
        <w:tc>
          <w:tcPr>
            <w:tcW w:w="2802" w:type="dxa"/>
            <w:vAlign w:val="center"/>
          </w:tcPr>
          <w:p w:rsidR="007B4C21" w:rsidRPr="0030404F" w:rsidRDefault="007B4C21" w:rsidP="00B377C5">
            <w:pPr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Сосиски</w:t>
            </w:r>
          </w:p>
        </w:tc>
        <w:tc>
          <w:tcPr>
            <w:tcW w:w="1350" w:type="dxa"/>
            <w:vAlign w:val="center"/>
          </w:tcPr>
          <w:p w:rsidR="007B4C21" w:rsidRPr="0051561C" w:rsidRDefault="007B4C21" w:rsidP="00B3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7B4C21" w:rsidRDefault="007B4C21" w:rsidP="007B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6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267,50</w:t>
            </w:r>
          </w:p>
        </w:tc>
        <w:tc>
          <w:tcPr>
            <w:tcW w:w="2607" w:type="dxa"/>
            <w:vAlign w:val="center"/>
          </w:tcPr>
          <w:p w:rsidR="007B4C21" w:rsidRPr="000E7FEE" w:rsidRDefault="007B4C21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4 012,50</w:t>
            </w:r>
          </w:p>
        </w:tc>
      </w:tr>
      <w:tr w:rsidR="00DB3DDE" w:rsidRPr="008A4E15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8A4E15" w:rsidRDefault="00DB3DDE" w:rsidP="00EA7B5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AC62C7" w:rsidRDefault="007B4C21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40 325,00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lastRenderedPageBreak/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75397C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</w:t>
      </w:r>
      <w:r w:rsidR="00DB3DDE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7B4C21">
        <w:rPr>
          <w:b/>
          <w:sz w:val="20"/>
          <w:szCs w:val="20"/>
        </w:rPr>
        <w:t>17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Дата окончания под</w:t>
      </w:r>
      <w:bookmarkStart w:id="1" w:name="_GoBack"/>
      <w:bookmarkEnd w:id="1"/>
      <w:r w:rsidRPr="006A14D6">
        <w:rPr>
          <w:sz w:val="20"/>
          <w:szCs w:val="20"/>
        </w:rPr>
        <w:t xml:space="preserve">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75397C">
        <w:rPr>
          <w:b/>
          <w:sz w:val="20"/>
          <w:szCs w:val="20"/>
        </w:rPr>
        <w:t>23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75397C">
        <w:rPr>
          <w:b/>
          <w:sz w:val="20"/>
          <w:szCs w:val="20"/>
        </w:rPr>
        <w:t>29</w:t>
      </w:r>
      <w:r w:rsidRPr="00705002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ров, направляются Заказчиком в реестр недобросовестных поставщиков в порядке, предусмотренном нормативным </w:t>
      </w:r>
      <w:r w:rsidRPr="006A14D6">
        <w:rPr>
          <w:bCs/>
          <w:sz w:val="20"/>
          <w:szCs w:val="20"/>
        </w:rPr>
        <w:lastRenderedPageBreak/>
        <w:t>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</w:t>
      </w:r>
      <w:r w:rsidRPr="006A14D6">
        <w:rPr>
          <w:bCs/>
          <w:sz w:val="20"/>
          <w:szCs w:val="20"/>
        </w:rPr>
        <w:lastRenderedPageBreak/>
        <w:t>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0E7FEE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Главный-врач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B4C21">
        <w:rPr>
          <w:sz w:val="20"/>
          <w:szCs w:val="20"/>
        </w:rPr>
        <w:t>05</w:t>
      </w:r>
      <w:r w:rsidRPr="006A14D6">
        <w:rPr>
          <w:sz w:val="20"/>
          <w:szCs w:val="20"/>
        </w:rPr>
        <w:t>-ЗК от «</w:t>
      </w:r>
      <w:r w:rsidR="007B4C21">
        <w:rPr>
          <w:sz w:val="20"/>
          <w:szCs w:val="20"/>
        </w:rPr>
        <w:t>16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7B4C21">
        <w:rPr>
          <w:b/>
          <w:color w:val="FF0000"/>
          <w:sz w:val="20"/>
          <w:szCs w:val="20"/>
        </w:rPr>
        <w:t>05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7B4C21">
        <w:rPr>
          <w:b/>
          <w:color w:val="FF0000"/>
          <w:sz w:val="20"/>
          <w:szCs w:val="20"/>
        </w:rPr>
        <w:t>16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B4C21">
        <w:rPr>
          <w:sz w:val="20"/>
          <w:szCs w:val="20"/>
        </w:rPr>
        <w:t>05</w:t>
      </w:r>
      <w:r w:rsidRPr="006A14D6">
        <w:rPr>
          <w:sz w:val="20"/>
          <w:szCs w:val="20"/>
        </w:rPr>
        <w:t>-ЗК от «</w:t>
      </w:r>
      <w:r w:rsidR="006834C7">
        <w:rPr>
          <w:sz w:val="20"/>
          <w:szCs w:val="20"/>
        </w:rPr>
        <w:t>1</w:t>
      </w:r>
      <w:r w:rsidR="007B4C21">
        <w:rPr>
          <w:sz w:val="20"/>
          <w:szCs w:val="20"/>
        </w:rPr>
        <w:t>6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2B" w:rsidRDefault="00B05C2B">
      <w:r>
        <w:separator/>
      </w:r>
    </w:p>
  </w:endnote>
  <w:endnote w:type="continuationSeparator" w:id="0">
    <w:p w:rsidR="00B05C2B" w:rsidRDefault="00B0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54" w:rsidRDefault="00F04D8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A7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397C">
      <w:rPr>
        <w:rStyle w:val="a9"/>
        <w:noProof/>
      </w:rPr>
      <w:t>9</w:t>
    </w:r>
    <w:r>
      <w:rPr>
        <w:rStyle w:val="a9"/>
      </w:rPr>
      <w:fldChar w:fldCharType="end"/>
    </w:r>
  </w:p>
  <w:p w:rsidR="00EA7B54" w:rsidRDefault="00EA7B54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2B" w:rsidRDefault="00B05C2B">
      <w:r>
        <w:separator/>
      </w:r>
    </w:p>
  </w:footnote>
  <w:footnote w:type="continuationSeparator" w:id="0">
    <w:p w:rsidR="00B05C2B" w:rsidRDefault="00B05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97C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5C2B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3FF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E61BC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4D85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91A0-232C-47DE-A16B-058D300F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10</Pages>
  <Words>5067</Words>
  <Characters>36174</Characters>
  <Application>Microsoft Office Word</Application>
  <DocSecurity>0</DocSecurity>
  <Lines>301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41159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252</cp:revision>
  <cp:lastPrinted>2020-01-16T07:58:00Z</cp:lastPrinted>
  <dcterms:created xsi:type="dcterms:W3CDTF">2014-05-27T01:29:00Z</dcterms:created>
  <dcterms:modified xsi:type="dcterms:W3CDTF">2020-01-22T07:54:00Z</dcterms:modified>
</cp:coreProperties>
</file>